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0BBA" w:rsidR="00D35B08" w:rsidP="005F1BFB" w:rsidRDefault="006D0BBA" w14:paraId="559CFCBA" w14:textId="03CFDD62">
      <w:pPr>
        <w:pStyle w:val="Heading2"/>
      </w:pPr>
      <w:r w:rsidRPr="006D0BBA">
        <w:t>Anti-Discrimination Assessment (ADA)</w:t>
      </w:r>
    </w:p>
    <w:p w:rsidR="005B48A6" w:rsidP="006D0BBA" w:rsidRDefault="006D0BBA" w14:paraId="65C4248D" w14:textId="0F9A7EBC">
      <w:pPr>
        <w:rPr>
          <w:i/>
          <w:iCs/>
          <w:sz w:val="22"/>
          <w:szCs w:val="22"/>
        </w:rPr>
      </w:pPr>
      <w:r w:rsidRPr="006D0BBA">
        <w:rPr>
          <w:sz w:val="22"/>
          <w:szCs w:val="22"/>
        </w:rPr>
        <w:t xml:space="preserve">The </w:t>
      </w:r>
      <w:r w:rsidRPr="006D0BBA">
        <w:rPr>
          <w:b/>
          <w:bCs/>
          <w:sz w:val="22"/>
          <w:szCs w:val="22"/>
        </w:rPr>
        <w:t>Anti-Discrimination Assessment (ADA)</w:t>
      </w:r>
      <w:r w:rsidRPr="006D0BBA">
        <w:rPr>
          <w:sz w:val="22"/>
          <w:szCs w:val="22"/>
        </w:rPr>
        <w:t xml:space="preserve"> is an essential part of the training package development process. </w:t>
      </w:r>
      <w:r w:rsidR="00F87FE1">
        <w:rPr>
          <w:sz w:val="22"/>
          <w:szCs w:val="22"/>
        </w:rPr>
        <w:t>It ensures training</w:t>
      </w:r>
      <w:r w:rsidRPr="006D0BBA" w:rsidR="005B48A6">
        <w:rPr>
          <w:sz w:val="22"/>
          <w:szCs w:val="22"/>
        </w:rPr>
        <w:t xml:space="preserve"> product</w:t>
      </w:r>
      <w:r w:rsidR="00F87FE1">
        <w:rPr>
          <w:sz w:val="22"/>
          <w:szCs w:val="22"/>
        </w:rPr>
        <w:t>s are</w:t>
      </w:r>
      <w:r w:rsidRPr="006D0BBA" w:rsidR="005B48A6">
        <w:rPr>
          <w:sz w:val="22"/>
          <w:szCs w:val="22"/>
        </w:rPr>
        <w:t xml:space="preserve"> inclusive</w:t>
      </w:r>
      <w:r w:rsidR="00896B11">
        <w:rPr>
          <w:sz w:val="22"/>
          <w:szCs w:val="22"/>
        </w:rPr>
        <w:t>, comply with Australian anti-discrimination legislation, and</w:t>
      </w:r>
      <w:r w:rsidRPr="006D0BBA" w:rsidR="005B48A6">
        <w:rPr>
          <w:sz w:val="22"/>
          <w:szCs w:val="22"/>
        </w:rPr>
        <w:t xml:space="preserve"> do not unintentionally exclude vulnerable groups or individuals with disabilities</w:t>
      </w:r>
      <w:r w:rsidR="005B48A6">
        <w:rPr>
          <w:sz w:val="22"/>
          <w:szCs w:val="22"/>
        </w:rPr>
        <w:t xml:space="preserve">. </w:t>
      </w:r>
      <w:r w:rsidR="002E2DEF">
        <w:rPr>
          <w:sz w:val="22"/>
          <w:szCs w:val="22"/>
        </w:rPr>
        <w:t xml:space="preserve">For more information, </w:t>
      </w:r>
      <w:r w:rsidR="00B62980">
        <w:rPr>
          <w:sz w:val="22"/>
          <w:szCs w:val="22"/>
        </w:rPr>
        <w:t xml:space="preserve">refer to </w:t>
      </w:r>
      <w:r w:rsidRPr="00B62980" w:rsidR="002E2DEF">
        <w:rPr>
          <w:i/>
          <w:iCs/>
          <w:sz w:val="22"/>
          <w:szCs w:val="22"/>
        </w:rPr>
        <w:t>Appendix B - Relevant Anti-Discrimination Legislation.</w:t>
      </w:r>
    </w:p>
    <w:p w:rsidR="00F87FE1" w:rsidP="006D0BBA" w:rsidRDefault="00F87FE1" w14:paraId="49A2B141" w14:textId="55564D30">
      <w:pPr>
        <w:rPr>
          <w:sz w:val="22"/>
          <w:szCs w:val="22"/>
        </w:rPr>
      </w:pPr>
      <w:r w:rsidRPr="005B48A6">
        <w:rPr>
          <w:sz w:val="22"/>
          <w:szCs w:val="22"/>
        </w:rPr>
        <w:t xml:space="preserve">This </w:t>
      </w:r>
      <w:r w:rsidR="00AD5B33">
        <w:rPr>
          <w:sz w:val="22"/>
          <w:szCs w:val="22"/>
        </w:rPr>
        <w:t xml:space="preserve">assessment must be </w:t>
      </w:r>
      <w:r w:rsidRPr="005B48A6">
        <w:rPr>
          <w:sz w:val="22"/>
          <w:szCs w:val="22"/>
        </w:rPr>
        <w:t>submitted along with the final</w:t>
      </w:r>
      <w:r w:rsidR="00360538">
        <w:rPr>
          <w:sz w:val="22"/>
          <w:szCs w:val="22"/>
        </w:rPr>
        <w:t xml:space="preserve"> assurance body</w:t>
      </w:r>
      <w:r w:rsidRPr="005B48A6">
        <w:rPr>
          <w:sz w:val="22"/>
          <w:szCs w:val="22"/>
        </w:rPr>
        <w:t xml:space="preserve"> training product submission pack.</w:t>
      </w:r>
    </w:p>
    <w:p w:rsidRPr="006D0BBA" w:rsidR="006D0BBA" w:rsidP="006D0BBA" w:rsidRDefault="006D0BBA" w14:paraId="6E04FDBA" w14:textId="4B8F2A9D">
      <w:pPr>
        <w:rPr>
          <w:sz w:val="22"/>
          <w:szCs w:val="22"/>
        </w:rPr>
      </w:pPr>
      <w:r w:rsidRPr="006D0BBA">
        <w:rPr>
          <w:sz w:val="22"/>
          <w:szCs w:val="22"/>
        </w:rPr>
        <w:t>Follow these steps to complete the ADA:</w:t>
      </w:r>
    </w:p>
    <w:p w:rsidRPr="005B48A6" w:rsidR="006D0BBA" w:rsidP="00527F4B" w:rsidRDefault="00527F4B" w14:paraId="141576E9" w14:textId="57DF2F02">
      <w:pPr>
        <w:pStyle w:val="ListParagraph"/>
        <w:numPr>
          <w:ilvl w:val="0"/>
          <w:numId w:val="1"/>
        </w:numPr>
        <w:rPr>
          <w:sz w:val="22"/>
          <w:szCs w:val="22"/>
        </w:rPr>
      </w:pPr>
      <w:r w:rsidRPr="005B48A6">
        <w:rPr>
          <w:sz w:val="22"/>
          <w:szCs w:val="22"/>
        </w:rPr>
        <w:t xml:space="preserve">The </w:t>
      </w:r>
      <w:r w:rsidR="003A3156">
        <w:rPr>
          <w:sz w:val="22"/>
          <w:szCs w:val="22"/>
        </w:rPr>
        <w:t>p</w:t>
      </w:r>
      <w:r w:rsidRPr="005B48A6">
        <w:rPr>
          <w:sz w:val="22"/>
          <w:szCs w:val="22"/>
        </w:rPr>
        <w:t xml:space="preserve">roject </w:t>
      </w:r>
      <w:r w:rsidR="003A3156">
        <w:rPr>
          <w:sz w:val="22"/>
          <w:szCs w:val="22"/>
        </w:rPr>
        <w:t>t</w:t>
      </w:r>
      <w:r w:rsidRPr="005B48A6">
        <w:rPr>
          <w:sz w:val="22"/>
          <w:szCs w:val="22"/>
        </w:rPr>
        <w:t xml:space="preserve">eam should begin referring to </w:t>
      </w:r>
      <w:r w:rsidR="00FE292D">
        <w:rPr>
          <w:sz w:val="22"/>
          <w:szCs w:val="22"/>
        </w:rPr>
        <w:t>this</w:t>
      </w:r>
      <w:r w:rsidRPr="005B48A6">
        <w:rPr>
          <w:sz w:val="22"/>
          <w:szCs w:val="22"/>
        </w:rPr>
        <w:t xml:space="preserve"> document at the start of the project and continue through to its final submission. This will ensure </w:t>
      </w:r>
      <w:r w:rsidR="003A3156">
        <w:rPr>
          <w:sz w:val="22"/>
          <w:szCs w:val="22"/>
        </w:rPr>
        <w:t xml:space="preserve">that </w:t>
      </w:r>
      <w:r w:rsidRPr="005B48A6">
        <w:rPr>
          <w:sz w:val="22"/>
          <w:szCs w:val="22"/>
        </w:rPr>
        <w:t>anti-discrimination principles are considered and applied throughout the development process.</w:t>
      </w:r>
    </w:p>
    <w:p w:rsidRPr="005B48A6" w:rsidR="00527F4B" w:rsidP="00527F4B" w:rsidRDefault="003A3156" w14:paraId="1EBB5F96" w14:textId="334F6C5B">
      <w:pPr>
        <w:pStyle w:val="ListParagraph"/>
        <w:numPr>
          <w:ilvl w:val="0"/>
          <w:numId w:val="1"/>
        </w:numPr>
        <w:rPr>
          <w:sz w:val="22"/>
          <w:szCs w:val="22"/>
        </w:rPr>
      </w:pPr>
      <w:r>
        <w:rPr>
          <w:sz w:val="22"/>
          <w:szCs w:val="22"/>
        </w:rPr>
        <w:t>When</w:t>
      </w:r>
      <w:r w:rsidRPr="005B48A6">
        <w:rPr>
          <w:sz w:val="22"/>
          <w:szCs w:val="22"/>
        </w:rPr>
        <w:t xml:space="preserve"> </w:t>
      </w:r>
      <w:r w:rsidRPr="005B48A6" w:rsidR="00527F4B">
        <w:rPr>
          <w:sz w:val="22"/>
          <w:szCs w:val="22"/>
        </w:rPr>
        <w:t xml:space="preserve">reviewing existing products, technical writers must carefully examine the language used to identify any terminology that may be considered discriminatory. </w:t>
      </w:r>
      <w:r w:rsidR="00265E99">
        <w:rPr>
          <w:sz w:val="22"/>
          <w:szCs w:val="22"/>
        </w:rPr>
        <w:t>They must also</w:t>
      </w:r>
      <w:r w:rsidRPr="005B48A6" w:rsidR="00527F4B">
        <w:rPr>
          <w:sz w:val="22"/>
          <w:szCs w:val="22"/>
        </w:rPr>
        <w:t xml:space="preserve"> evaluate whether reasonable adjustments can be made for inclusivity. </w:t>
      </w:r>
      <w:r w:rsidR="00265E99">
        <w:rPr>
          <w:sz w:val="22"/>
          <w:szCs w:val="22"/>
        </w:rPr>
        <w:t>This should proactively identify and address any problematic areas that could inadvertently exclude certain groups of learners, including those with disabilities</w:t>
      </w:r>
      <w:r w:rsidRPr="005B48A6" w:rsidR="00527F4B">
        <w:rPr>
          <w:sz w:val="22"/>
          <w:szCs w:val="22"/>
        </w:rPr>
        <w:t>.</w:t>
      </w:r>
    </w:p>
    <w:p w:rsidRPr="005B48A6" w:rsidR="00527F4B" w:rsidP="00527F4B" w:rsidRDefault="00527F4B" w14:paraId="2F496858" w14:textId="3FFD5B54">
      <w:pPr>
        <w:pStyle w:val="ListParagraph"/>
        <w:numPr>
          <w:ilvl w:val="0"/>
          <w:numId w:val="1"/>
        </w:numPr>
        <w:rPr>
          <w:sz w:val="22"/>
          <w:szCs w:val="22"/>
        </w:rPr>
      </w:pPr>
      <w:r w:rsidRPr="005B48A6">
        <w:rPr>
          <w:sz w:val="22"/>
          <w:szCs w:val="22"/>
        </w:rPr>
        <w:t xml:space="preserve">During the project consultation, relevant stakeholders, including representatives from diverse and vulnerable groups, </w:t>
      </w:r>
      <w:r w:rsidR="0077353B">
        <w:rPr>
          <w:sz w:val="22"/>
          <w:szCs w:val="22"/>
        </w:rPr>
        <w:t xml:space="preserve">should </w:t>
      </w:r>
      <w:r w:rsidRPr="005B48A6">
        <w:rPr>
          <w:sz w:val="22"/>
          <w:szCs w:val="22"/>
        </w:rPr>
        <w:t xml:space="preserve">be engaged to gather feedback on any discriminatory language or barriers to reasonable adjustment. </w:t>
      </w:r>
    </w:p>
    <w:p w:rsidRPr="00095745" w:rsidR="00095745" w:rsidP="00095745" w:rsidRDefault="00372D06" w14:paraId="3EAE5422" w14:textId="4AACFB98">
      <w:pPr>
        <w:pStyle w:val="ListParagraph"/>
        <w:numPr>
          <w:ilvl w:val="0"/>
          <w:numId w:val="1"/>
        </w:numPr>
        <w:rPr>
          <w:sz w:val="22"/>
          <w:szCs w:val="22"/>
        </w:rPr>
      </w:pPr>
      <w:r>
        <w:rPr>
          <w:sz w:val="22"/>
          <w:szCs w:val="22"/>
        </w:rPr>
        <w:t>In preparation for the Assurance Body submission, t</w:t>
      </w:r>
      <w:r w:rsidRPr="005B48A6" w:rsidR="00527F4B">
        <w:rPr>
          <w:sz w:val="22"/>
          <w:szCs w:val="22"/>
        </w:rPr>
        <w:t xml:space="preserve">he </w:t>
      </w:r>
      <w:r w:rsidR="00B17037">
        <w:rPr>
          <w:sz w:val="22"/>
          <w:szCs w:val="22"/>
        </w:rPr>
        <w:t>p</w:t>
      </w:r>
      <w:r w:rsidRPr="005B48A6" w:rsidR="00054CB5">
        <w:rPr>
          <w:sz w:val="22"/>
          <w:szCs w:val="22"/>
        </w:rPr>
        <w:t xml:space="preserve">roject </w:t>
      </w:r>
      <w:r w:rsidR="00B17037">
        <w:rPr>
          <w:sz w:val="22"/>
          <w:szCs w:val="22"/>
        </w:rPr>
        <w:t>m</w:t>
      </w:r>
      <w:r w:rsidR="00054CB5">
        <w:rPr>
          <w:sz w:val="22"/>
          <w:szCs w:val="22"/>
        </w:rPr>
        <w:t>anager</w:t>
      </w:r>
      <w:r w:rsidR="00095745">
        <w:rPr>
          <w:sz w:val="22"/>
          <w:szCs w:val="22"/>
        </w:rPr>
        <w:t xml:space="preserve"> and </w:t>
      </w:r>
      <w:r w:rsidR="00B17037">
        <w:rPr>
          <w:sz w:val="22"/>
          <w:szCs w:val="22"/>
        </w:rPr>
        <w:t>t</w:t>
      </w:r>
      <w:r w:rsidR="00095745">
        <w:rPr>
          <w:sz w:val="22"/>
          <w:szCs w:val="22"/>
        </w:rPr>
        <w:t xml:space="preserve">echnical </w:t>
      </w:r>
      <w:r w:rsidR="00B17037">
        <w:rPr>
          <w:sz w:val="22"/>
          <w:szCs w:val="22"/>
        </w:rPr>
        <w:t>w</w:t>
      </w:r>
      <w:r w:rsidR="00095745">
        <w:rPr>
          <w:sz w:val="22"/>
          <w:szCs w:val="22"/>
        </w:rPr>
        <w:t xml:space="preserve">riters </w:t>
      </w:r>
      <w:r w:rsidRPr="005B48A6" w:rsidR="00527F4B">
        <w:rPr>
          <w:sz w:val="22"/>
          <w:szCs w:val="22"/>
        </w:rPr>
        <w:t xml:space="preserve">must carefully complete the ADA Assessment </w:t>
      </w:r>
      <w:r w:rsidR="00333916">
        <w:rPr>
          <w:sz w:val="22"/>
          <w:szCs w:val="22"/>
        </w:rPr>
        <w:t>describing actions taken and considerations made</w:t>
      </w:r>
      <w:r w:rsidR="003270FD">
        <w:rPr>
          <w:sz w:val="22"/>
          <w:szCs w:val="22"/>
        </w:rPr>
        <w:t xml:space="preserve"> to meet anti-discrimination requirements during the project. </w:t>
      </w:r>
    </w:p>
    <w:p w:rsidR="005738DB" w:rsidP="00527F4B" w:rsidRDefault="0085120C" w14:paraId="2142EC7D" w14:textId="300E74A6">
      <w:pPr>
        <w:pStyle w:val="ListParagraph"/>
        <w:numPr>
          <w:ilvl w:val="0"/>
          <w:numId w:val="1"/>
        </w:numPr>
        <w:rPr>
          <w:sz w:val="22"/>
          <w:szCs w:val="22"/>
        </w:rPr>
      </w:pPr>
      <w:r>
        <w:rPr>
          <w:sz w:val="22"/>
          <w:szCs w:val="22"/>
        </w:rPr>
        <w:t>The</w:t>
      </w:r>
      <w:r w:rsidRPr="005B48A6" w:rsidR="00527F4B">
        <w:rPr>
          <w:sz w:val="22"/>
          <w:szCs w:val="22"/>
        </w:rPr>
        <w:t xml:space="preserve"> ADA assessor </w:t>
      </w:r>
      <w:r w:rsidR="009D6F4F">
        <w:rPr>
          <w:sz w:val="22"/>
          <w:szCs w:val="22"/>
        </w:rPr>
        <w:t>will</w:t>
      </w:r>
      <w:r w:rsidRPr="005B48A6" w:rsidR="00527F4B">
        <w:rPr>
          <w:sz w:val="22"/>
          <w:szCs w:val="22"/>
        </w:rPr>
        <w:t xml:space="preserve"> </w:t>
      </w:r>
      <w:r>
        <w:rPr>
          <w:sz w:val="22"/>
          <w:szCs w:val="22"/>
        </w:rPr>
        <w:t xml:space="preserve">review the </w:t>
      </w:r>
      <w:r w:rsidR="003A1C3E">
        <w:rPr>
          <w:sz w:val="22"/>
          <w:szCs w:val="22"/>
        </w:rPr>
        <w:t>training products and the responses</w:t>
      </w:r>
      <w:r w:rsidR="00CB5B2C">
        <w:rPr>
          <w:sz w:val="22"/>
          <w:szCs w:val="22"/>
        </w:rPr>
        <w:t xml:space="preserve"> in the assessment to ensure these requirements have been met before </w:t>
      </w:r>
      <w:r w:rsidRPr="005B48A6" w:rsidR="00527F4B">
        <w:rPr>
          <w:sz w:val="22"/>
          <w:szCs w:val="22"/>
        </w:rPr>
        <w:t>sign</w:t>
      </w:r>
      <w:r w:rsidR="00CB5B2C">
        <w:rPr>
          <w:sz w:val="22"/>
          <w:szCs w:val="22"/>
        </w:rPr>
        <w:t>ing</w:t>
      </w:r>
      <w:r w:rsidRPr="005B48A6" w:rsidR="00527F4B">
        <w:rPr>
          <w:sz w:val="22"/>
          <w:szCs w:val="22"/>
        </w:rPr>
        <w:t xml:space="preserve"> off on the document</w:t>
      </w:r>
      <w:r>
        <w:rPr>
          <w:sz w:val="22"/>
          <w:szCs w:val="22"/>
        </w:rPr>
        <w:t>. T</w:t>
      </w:r>
      <w:r w:rsidR="0063347C">
        <w:rPr>
          <w:sz w:val="22"/>
          <w:szCs w:val="22"/>
        </w:rPr>
        <w:t>he</w:t>
      </w:r>
      <w:r w:rsidRPr="005B48A6" w:rsidR="00527F4B">
        <w:rPr>
          <w:sz w:val="22"/>
          <w:szCs w:val="22"/>
        </w:rPr>
        <w:t xml:space="preserve"> ADA </w:t>
      </w:r>
      <w:r w:rsidR="007A40CD">
        <w:rPr>
          <w:sz w:val="22"/>
          <w:szCs w:val="22"/>
        </w:rPr>
        <w:t xml:space="preserve">assessment </w:t>
      </w:r>
      <w:r w:rsidR="0063347C">
        <w:rPr>
          <w:sz w:val="22"/>
          <w:szCs w:val="22"/>
        </w:rPr>
        <w:t xml:space="preserve">will be </w:t>
      </w:r>
      <w:r w:rsidR="00B83199">
        <w:rPr>
          <w:sz w:val="22"/>
          <w:szCs w:val="22"/>
        </w:rPr>
        <w:t xml:space="preserve">included in </w:t>
      </w:r>
      <w:r w:rsidRPr="005B48A6" w:rsidR="00527F4B">
        <w:rPr>
          <w:sz w:val="22"/>
          <w:szCs w:val="22"/>
        </w:rPr>
        <w:t>the final training product submission pack</w:t>
      </w:r>
      <w:r w:rsidR="00AB7FED">
        <w:rPr>
          <w:sz w:val="22"/>
          <w:szCs w:val="22"/>
        </w:rPr>
        <w:t xml:space="preserve"> </w:t>
      </w:r>
      <w:r w:rsidR="00B83199">
        <w:rPr>
          <w:sz w:val="22"/>
          <w:szCs w:val="22"/>
        </w:rPr>
        <w:t>to</w:t>
      </w:r>
      <w:r w:rsidR="003C3038">
        <w:rPr>
          <w:sz w:val="22"/>
          <w:szCs w:val="22"/>
        </w:rPr>
        <w:t xml:space="preserve"> </w:t>
      </w:r>
      <w:r w:rsidR="00AB7FED">
        <w:rPr>
          <w:sz w:val="22"/>
          <w:szCs w:val="22"/>
        </w:rPr>
        <w:t>the Training Package Assurance Body.</w:t>
      </w:r>
    </w:p>
    <w:p w:rsidRPr="00B83199" w:rsidR="00B83199" w:rsidP="00B83199" w:rsidRDefault="00B83199" w14:paraId="0112E924" w14:textId="6089DC4E">
      <w:pPr>
        <w:rPr>
          <w:b/>
          <w:bCs/>
          <w:sz w:val="22"/>
          <w:szCs w:val="22"/>
        </w:rPr>
      </w:pPr>
      <w:r w:rsidRPr="00B83199">
        <w:rPr>
          <w:b/>
          <w:bCs/>
          <w:sz w:val="22"/>
          <w:szCs w:val="22"/>
        </w:rPr>
        <w:t>Roles and Responsib</w:t>
      </w:r>
      <w:r>
        <w:rPr>
          <w:b/>
          <w:bCs/>
          <w:sz w:val="22"/>
          <w:szCs w:val="22"/>
        </w:rPr>
        <w:t>i</w:t>
      </w:r>
      <w:r w:rsidRPr="00B83199">
        <w:rPr>
          <w:b/>
          <w:bCs/>
          <w:sz w:val="22"/>
          <w:szCs w:val="22"/>
        </w:rPr>
        <w:t>lities</w:t>
      </w:r>
    </w:p>
    <w:p w:rsidRPr="00D76B2A" w:rsidR="008166CF" w:rsidP="008166CF" w:rsidRDefault="008166CF" w14:paraId="1971B5B3" w14:textId="77777777">
      <w:pPr>
        <w:rPr>
          <w:b/>
          <w:bCs/>
          <w:sz w:val="22"/>
          <w:szCs w:val="22"/>
        </w:rPr>
      </w:pPr>
      <w:r w:rsidRPr="00D76B2A">
        <w:rPr>
          <w:b/>
          <w:bCs/>
          <w:sz w:val="22"/>
          <w:szCs w:val="22"/>
        </w:rPr>
        <w:t xml:space="preserve">Project Manager </w:t>
      </w:r>
    </w:p>
    <w:p w:rsidRPr="008166CF" w:rsidR="008166CF" w:rsidP="008166CF" w:rsidRDefault="008166CF" w14:paraId="3A5444CE" w14:textId="37DE51C2">
      <w:pPr>
        <w:rPr>
          <w:sz w:val="22"/>
          <w:szCs w:val="22"/>
        </w:rPr>
      </w:pPr>
      <w:r w:rsidRPr="008166CF">
        <w:rPr>
          <w:sz w:val="22"/>
          <w:szCs w:val="22"/>
        </w:rPr>
        <w:t xml:space="preserve">Responsible for overseeing the ADA process and ensuring anti-discrimination principles are </w:t>
      </w:r>
      <w:r w:rsidR="00606FD9">
        <w:rPr>
          <w:sz w:val="22"/>
          <w:szCs w:val="22"/>
        </w:rPr>
        <w:t>applied throughout the project.</w:t>
      </w:r>
    </w:p>
    <w:p w:rsidRPr="008166CF" w:rsidR="008166CF" w:rsidP="008166CF" w:rsidRDefault="008166CF" w14:paraId="4DE07631" w14:textId="77777777">
      <w:pPr>
        <w:rPr>
          <w:sz w:val="22"/>
          <w:szCs w:val="22"/>
        </w:rPr>
      </w:pPr>
      <w:r w:rsidRPr="008166CF">
        <w:rPr>
          <w:sz w:val="22"/>
          <w:szCs w:val="22"/>
        </w:rPr>
        <w:t>Duties:</w:t>
      </w:r>
    </w:p>
    <w:p w:rsidRPr="008166CF" w:rsidR="008166CF" w:rsidP="008166CF" w:rsidRDefault="008166CF" w14:paraId="37230A19" w14:textId="275C400C">
      <w:pPr>
        <w:pStyle w:val="ListParagraph"/>
        <w:numPr>
          <w:ilvl w:val="0"/>
          <w:numId w:val="3"/>
        </w:numPr>
        <w:rPr>
          <w:sz w:val="22"/>
          <w:szCs w:val="22"/>
        </w:rPr>
      </w:pPr>
      <w:r w:rsidRPr="008166CF">
        <w:rPr>
          <w:sz w:val="22"/>
          <w:szCs w:val="22"/>
        </w:rPr>
        <w:t xml:space="preserve">initiate the ADA process at the start of the project and coordinate </w:t>
      </w:r>
      <w:r w:rsidR="005A1A54">
        <w:rPr>
          <w:sz w:val="22"/>
          <w:szCs w:val="22"/>
        </w:rPr>
        <w:t xml:space="preserve">its implementation </w:t>
      </w:r>
      <w:r w:rsidRPr="008166CF">
        <w:rPr>
          <w:sz w:val="22"/>
          <w:szCs w:val="22"/>
        </w:rPr>
        <w:t>with the project team</w:t>
      </w:r>
    </w:p>
    <w:p w:rsidRPr="008166CF" w:rsidR="008166CF" w:rsidP="008166CF" w:rsidRDefault="008166CF" w14:paraId="564721D2" w14:textId="77777777">
      <w:pPr>
        <w:pStyle w:val="ListParagraph"/>
        <w:numPr>
          <w:ilvl w:val="0"/>
          <w:numId w:val="3"/>
        </w:numPr>
        <w:rPr>
          <w:sz w:val="22"/>
          <w:szCs w:val="22"/>
        </w:rPr>
      </w:pPr>
      <w:r w:rsidRPr="008166CF">
        <w:rPr>
          <w:sz w:val="22"/>
          <w:szCs w:val="22"/>
        </w:rPr>
        <w:t>review and monitor the training products’ language, structure, and content to ensure non-discriminatory practices are implemented</w:t>
      </w:r>
    </w:p>
    <w:p w:rsidRPr="008166CF" w:rsidR="008166CF" w:rsidP="008166CF" w:rsidRDefault="000373CD" w14:paraId="01E94CBC" w14:textId="03CC03E1">
      <w:pPr>
        <w:pStyle w:val="ListParagraph"/>
        <w:numPr>
          <w:ilvl w:val="0"/>
          <w:numId w:val="3"/>
        </w:numPr>
        <w:rPr>
          <w:sz w:val="22"/>
          <w:szCs w:val="22"/>
        </w:rPr>
      </w:pPr>
      <w:r>
        <w:rPr>
          <w:sz w:val="22"/>
          <w:szCs w:val="22"/>
        </w:rPr>
        <w:t>consult</w:t>
      </w:r>
      <w:r w:rsidRPr="008166CF" w:rsidR="008166CF">
        <w:rPr>
          <w:sz w:val="22"/>
          <w:szCs w:val="22"/>
        </w:rPr>
        <w:t xml:space="preserve"> with stakeholders, including representatives from diverse groups, to address anti-discrimination concerns</w:t>
      </w:r>
    </w:p>
    <w:p w:rsidRPr="008166CF" w:rsidR="008166CF" w:rsidP="008166CF" w:rsidRDefault="097D2AC2" w14:paraId="6E317ACC" w14:textId="58437B63">
      <w:pPr>
        <w:pStyle w:val="ListParagraph"/>
        <w:numPr>
          <w:ilvl w:val="0"/>
          <w:numId w:val="3"/>
        </w:numPr>
        <w:rPr>
          <w:sz w:val="22"/>
          <w:szCs w:val="22"/>
        </w:rPr>
      </w:pPr>
      <w:r w:rsidRPr="2C4B6C16">
        <w:rPr>
          <w:sz w:val="22"/>
          <w:szCs w:val="22"/>
        </w:rPr>
        <w:lastRenderedPageBreak/>
        <w:t>ensure th</w:t>
      </w:r>
      <w:r w:rsidRPr="2C4B6C16" w:rsidR="57E5FEA7">
        <w:rPr>
          <w:sz w:val="22"/>
          <w:szCs w:val="22"/>
        </w:rPr>
        <w:t xml:space="preserve">e </w:t>
      </w:r>
      <w:r w:rsidRPr="2C4B6C16">
        <w:rPr>
          <w:sz w:val="22"/>
          <w:szCs w:val="22"/>
        </w:rPr>
        <w:t xml:space="preserve">ADA </w:t>
      </w:r>
      <w:r w:rsidRPr="2C4B6C16" w:rsidR="57E5FEA7">
        <w:rPr>
          <w:sz w:val="22"/>
          <w:szCs w:val="22"/>
        </w:rPr>
        <w:t>assessment is completed</w:t>
      </w:r>
      <w:r w:rsidRPr="2C4B6C16">
        <w:rPr>
          <w:sz w:val="22"/>
          <w:szCs w:val="22"/>
        </w:rPr>
        <w:t xml:space="preserve"> before submission for final review by the ADA assessor.</w:t>
      </w:r>
    </w:p>
    <w:p w:rsidR="2C4B6C16" w:rsidP="2C4B6C16" w:rsidRDefault="2C4B6C16" w14:paraId="4D00567A" w14:textId="6E4673FC">
      <w:pPr>
        <w:rPr>
          <w:b/>
          <w:bCs/>
          <w:sz w:val="22"/>
          <w:szCs w:val="22"/>
        </w:rPr>
      </w:pPr>
    </w:p>
    <w:p w:rsidRPr="00D76B2A" w:rsidR="008166CF" w:rsidP="008166CF" w:rsidRDefault="008166CF" w14:paraId="7B40CE48" w14:textId="77777777">
      <w:pPr>
        <w:rPr>
          <w:b/>
          <w:bCs/>
          <w:sz w:val="22"/>
          <w:szCs w:val="22"/>
        </w:rPr>
      </w:pPr>
      <w:r w:rsidRPr="00D76B2A">
        <w:rPr>
          <w:b/>
          <w:bCs/>
          <w:sz w:val="22"/>
          <w:szCs w:val="22"/>
        </w:rPr>
        <w:t>Technical writers</w:t>
      </w:r>
    </w:p>
    <w:p w:rsidR="006D483C" w:rsidP="2C4B6C16" w:rsidRDefault="73730362" w14:paraId="18BA6624" w14:textId="77777777">
      <w:pPr>
        <w:rPr>
          <w:sz w:val="20"/>
          <w:szCs w:val="20"/>
        </w:rPr>
      </w:pPr>
      <w:r w:rsidRPr="2C4B6C16">
        <w:rPr>
          <w:sz w:val="22"/>
          <w:szCs w:val="22"/>
        </w:rPr>
        <w:t>Responsible for ensuring training product content is inclusive and free from discriminatory language or bias.</w:t>
      </w:r>
    </w:p>
    <w:p w:rsidRPr="008166CF" w:rsidR="008166CF" w:rsidP="008166CF" w:rsidRDefault="008166CF" w14:paraId="4A9BBC34" w14:textId="156682F3">
      <w:pPr>
        <w:rPr>
          <w:sz w:val="22"/>
          <w:szCs w:val="22"/>
        </w:rPr>
      </w:pPr>
      <w:r w:rsidRPr="008166CF">
        <w:rPr>
          <w:sz w:val="22"/>
          <w:szCs w:val="22"/>
        </w:rPr>
        <w:t>Duties:</w:t>
      </w:r>
    </w:p>
    <w:p w:rsidR="006D483C" w:rsidP="008166CF" w:rsidRDefault="006D483C" w14:paraId="14451901" w14:textId="4C1A0024">
      <w:pPr>
        <w:pStyle w:val="ListParagraph"/>
        <w:numPr>
          <w:ilvl w:val="0"/>
          <w:numId w:val="4"/>
        </w:numPr>
        <w:rPr>
          <w:sz w:val="22"/>
          <w:szCs w:val="22"/>
        </w:rPr>
      </w:pPr>
      <w:r>
        <w:rPr>
          <w:sz w:val="22"/>
          <w:szCs w:val="22"/>
        </w:rPr>
        <w:t>a</w:t>
      </w:r>
      <w:r w:rsidRPr="006D483C">
        <w:rPr>
          <w:sz w:val="22"/>
          <w:szCs w:val="22"/>
        </w:rPr>
        <w:t>ssess and recommend changes to language and terminology to ensure inclusivity</w:t>
      </w:r>
    </w:p>
    <w:p w:rsidRPr="008166CF" w:rsidR="008166CF" w:rsidP="008166CF" w:rsidRDefault="006D483C" w14:paraId="543E340D" w14:textId="3E7080D7">
      <w:pPr>
        <w:pStyle w:val="ListParagraph"/>
        <w:numPr>
          <w:ilvl w:val="0"/>
          <w:numId w:val="4"/>
        </w:numPr>
        <w:rPr>
          <w:sz w:val="22"/>
          <w:szCs w:val="22"/>
        </w:rPr>
      </w:pPr>
      <w:r>
        <w:rPr>
          <w:sz w:val="22"/>
          <w:szCs w:val="22"/>
        </w:rPr>
        <w:t>identify and address</w:t>
      </w:r>
      <w:r w:rsidRPr="008166CF" w:rsidR="008166CF">
        <w:rPr>
          <w:sz w:val="22"/>
          <w:szCs w:val="22"/>
        </w:rPr>
        <w:t xml:space="preserve"> potential barriers to access, especially for learners with disabilities</w:t>
      </w:r>
    </w:p>
    <w:p w:rsidRPr="008166CF" w:rsidR="008166CF" w:rsidP="008166CF" w:rsidRDefault="008166CF" w14:paraId="715FBA3A" w14:textId="41BEB45C">
      <w:pPr>
        <w:pStyle w:val="ListParagraph"/>
        <w:numPr>
          <w:ilvl w:val="0"/>
          <w:numId w:val="4"/>
        </w:numPr>
        <w:rPr>
          <w:sz w:val="22"/>
          <w:szCs w:val="22"/>
        </w:rPr>
      </w:pPr>
      <w:r w:rsidRPr="008166CF">
        <w:rPr>
          <w:sz w:val="22"/>
          <w:szCs w:val="22"/>
        </w:rPr>
        <w:t>ensure reasonable adjustments can be made within assessmen</w:t>
      </w:r>
      <w:r w:rsidR="006D483C">
        <w:rPr>
          <w:sz w:val="22"/>
          <w:szCs w:val="22"/>
        </w:rPr>
        <w:t xml:space="preserve">t requirements </w:t>
      </w:r>
      <w:r w:rsidRPr="008166CF">
        <w:rPr>
          <w:sz w:val="22"/>
          <w:szCs w:val="22"/>
        </w:rPr>
        <w:t xml:space="preserve">to suit the needs of individuals with </w:t>
      </w:r>
      <w:r w:rsidR="00E73576">
        <w:rPr>
          <w:sz w:val="22"/>
          <w:szCs w:val="22"/>
        </w:rPr>
        <w:t>diverse needs</w:t>
      </w:r>
    </w:p>
    <w:p w:rsidRPr="008166CF" w:rsidR="008166CF" w:rsidP="008166CF" w:rsidRDefault="008166CF" w14:paraId="0078254E" w14:textId="77777777">
      <w:pPr>
        <w:pStyle w:val="ListParagraph"/>
        <w:numPr>
          <w:ilvl w:val="0"/>
          <w:numId w:val="4"/>
        </w:numPr>
        <w:rPr>
          <w:sz w:val="22"/>
          <w:szCs w:val="22"/>
        </w:rPr>
      </w:pPr>
      <w:r w:rsidRPr="008166CF">
        <w:rPr>
          <w:sz w:val="22"/>
          <w:szCs w:val="22"/>
        </w:rPr>
        <w:t>ensure that sector-specific terminology is inclusive and gender-neutral and that content reflects diversity across race, gender, and other protected characteristics</w:t>
      </w:r>
    </w:p>
    <w:p w:rsidRPr="008166CF" w:rsidR="008166CF" w:rsidP="008166CF" w:rsidRDefault="002F5E43" w14:paraId="1C3BD9E9" w14:textId="163EA83D">
      <w:pPr>
        <w:pStyle w:val="ListParagraph"/>
        <w:numPr>
          <w:ilvl w:val="0"/>
          <w:numId w:val="4"/>
        </w:numPr>
        <w:rPr>
          <w:sz w:val="22"/>
          <w:szCs w:val="22"/>
        </w:rPr>
      </w:pPr>
      <w:r>
        <w:rPr>
          <w:sz w:val="22"/>
          <w:szCs w:val="22"/>
        </w:rPr>
        <w:t xml:space="preserve">consult </w:t>
      </w:r>
      <w:r w:rsidRPr="008166CF" w:rsidR="008166CF">
        <w:rPr>
          <w:sz w:val="22"/>
          <w:szCs w:val="22"/>
        </w:rPr>
        <w:t xml:space="preserve">with stakeholders to gather feedback on inclusivity and address </w:t>
      </w:r>
      <w:r>
        <w:rPr>
          <w:sz w:val="22"/>
          <w:szCs w:val="22"/>
        </w:rPr>
        <w:t>concerns</w:t>
      </w:r>
    </w:p>
    <w:p w:rsidRPr="00D76B2A" w:rsidR="008166CF" w:rsidP="008166CF" w:rsidRDefault="008166CF" w14:paraId="3F237871" w14:textId="77777777">
      <w:pPr>
        <w:rPr>
          <w:b/>
          <w:bCs/>
          <w:sz w:val="22"/>
          <w:szCs w:val="22"/>
        </w:rPr>
      </w:pPr>
      <w:r w:rsidRPr="00D76B2A">
        <w:rPr>
          <w:b/>
          <w:bCs/>
          <w:sz w:val="22"/>
          <w:szCs w:val="22"/>
        </w:rPr>
        <w:t>ADA Assessor</w:t>
      </w:r>
    </w:p>
    <w:p w:rsidRPr="008166CF" w:rsidR="008166CF" w:rsidP="008166CF" w:rsidRDefault="008166CF" w14:paraId="4ED06041" w14:textId="4B33C739">
      <w:pPr>
        <w:rPr>
          <w:sz w:val="22"/>
          <w:szCs w:val="22"/>
        </w:rPr>
      </w:pPr>
      <w:r w:rsidRPr="008166CF">
        <w:rPr>
          <w:sz w:val="22"/>
          <w:szCs w:val="22"/>
        </w:rPr>
        <w:t xml:space="preserve">Responsible for conducting the final review of the ADA </w:t>
      </w:r>
      <w:r w:rsidR="002F5E43">
        <w:rPr>
          <w:sz w:val="22"/>
          <w:szCs w:val="22"/>
        </w:rPr>
        <w:t xml:space="preserve">assessment </w:t>
      </w:r>
      <w:r w:rsidRPr="008166CF">
        <w:rPr>
          <w:sz w:val="22"/>
          <w:szCs w:val="22"/>
        </w:rPr>
        <w:t>and ensuring that all anti-discrimination legislation is adhered to</w:t>
      </w:r>
      <w:r w:rsidR="00D73DA6">
        <w:rPr>
          <w:sz w:val="22"/>
          <w:szCs w:val="22"/>
        </w:rPr>
        <w:t>.</w:t>
      </w:r>
    </w:p>
    <w:p w:rsidRPr="008166CF" w:rsidR="008166CF" w:rsidP="008166CF" w:rsidRDefault="008166CF" w14:paraId="2B096DA3" w14:textId="77777777">
      <w:pPr>
        <w:rPr>
          <w:sz w:val="22"/>
          <w:szCs w:val="22"/>
        </w:rPr>
      </w:pPr>
      <w:r w:rsidRPr="008166CF">
        <w:rPr>
          <w:sz w:val="22"/>
          <w:szCs w:val="22"/>
        </w:rPr>
        <w:t>Duties:</w:t>
      </w:r>
    </w:p>
    <w:p w:rsidRPr="008166CF" w:rsidR="008166CF" w:rsidP="008166CF" w:rsidRDefault="008166CF" w14:paraId="23BFDFC2" w14:textId="0AD5D7B9">
      <w:pPr>
        <w:pStyle w:val="ListParagraph"/>
        <w:numPr>
          <w:ilvl w:val="0"/>
          <w:numId w:val="5"/>
        </w:numPr>
        <w:rPr>
          <w:sz w:val="22"/>
          <w:szCs w:val="22"/>
        </w:rPr>
      </w:pPr>
      <w:r w:rsidRPr="008166CF">
        <w:rPr>
          <w:sz w:val="22"/>
          <w:szCs w:val="22"/>
        </w:rPr>
        <w:t xml:space="preserve">review the completed ADA </w:t>
      </w:r>
      <w:r w:rsidR="00D73DA6">
        <w:rPr>
          <w:sz w:val="22"/>
          <w:szCs w:val="22"/>
        </w:rPr>
        <w:t xml:space="preserve">assessment </w:t>
      </w:r>
      <w:r w:rsidRPr="008166CF">
        <w:rPr>
          <w:sz w:val="22"/>
          <w:szCs w:val="22"/>
        </w:rPr>
        <w:t>and ensure all necessary actions have been taken to remove discriminatory language</w:t>
      </w:r>
    </w:p>
    <w:p w:rsidRPr="008166CF" w:rsidR="008166CF" w:rsidP="008166CF" w:rsidRDefault="008166CF" w14:paraId="12F7CB47" w14:textId="2C0B1F5B">
      <w:pPr>
        <w:pStyle w:val="ListParagraph"/>
        <w:numPr>
          <w:ilvl w:val="0"/>
          <w:numId w:val="5"/>
        </w:numPr>
        <w:rPr>
          <w:sz w:val="22"/>
          <w:szCs w:val="22"/>
        </w:rPr>
      </w:pPr>
      <w:r w:rsidRPr="008166CF">
        <w:rPr>
          <w:sz w:val="22"/>
          <w:szCs w:val="22"/>
        </w:rPr>
        <w:t>review the training products’ language, structure, and content to ensure anti-discrimination compliance</w:t>
      </w:r>
    </w:p>
    <w:p w:rsidRPr="008166CF" w:rsidR="008166CF" w:rsidP="008166CF" w:rsidRDefault="008166CF" w14:paraId="473E264E" w14:textId="77777777">
      <w:pPr>
        <w:pStyle w:val="ListParagraph"/>
        <w:numPr>
          <w:ilvl w:val="0"/>
          <w:numId w:val="5"/>
        </w:numPr>
        <w:rPr>
          <w:sz w:val="22"/>
          <w:szCs w:val="22"/>
        </w:rPr>
      </w:pPr>
      <w:r w:rsidRPr="008166CF">
        <w:rPr>
          <w:sz w:val="22"/>
          <w:szCs w:val="22"/>
        </w:rPr>
        <w:t>sign off on the final ADA checklist and submit it with the final training product submission package.</w:t>
      </w:r>
    </w:p>
    <w:p w:rsidRPr="008166CF" w:rsidR="005738DB" w:rsidRDefault="005738DB" w14:paraId="3C8B00C6" w14:textId="77777777">
      <w:pPr>
        <w:rPr>
          <w:sz w:val="22"/>
          <w:szCs w:val="22"/>
        </w:rPr>
      </w:pPr>
      <w:r w:rsidRPr="008166CF">
        <w:rPr>
          <w:sz w:val="22"/>
          <w:szCs w:val="22"/>
        </w:rPr>
        <w:br w:type="page"/>
      </w:r>
    </w:p>
    <w:p w:rsidRPr="00FE292D" w:rsidR="00527F4B" w:rsidP="005738DB" w:rsidRDefault="005738DB" w14:paraId="5FC68049" w14:textId="1AE9BCCE">
      <w:pPr>
        <w:rPr>
          <w:b/>
          <w:bCs/>
        </w:rPr>
      </w:pPr>
      <w:r w:rsidRPr="00FE292D">
        <w:rPr>
          <w:b/>
          <w:bCs/>
        </w:rPr>
        <w:lastRenderedPageBreak/>
        <w:t>Anti-Discrimination Assessment</w:t>
      </w:r>
      <w:r w:rsidR="00D17D08">
        <w:rPr>
          <w:b/>
          <w:bCs/>
        </w:rPr>
        <w:t xml:space="preserve"> (ADA)</w:t>
      </w:r>
    </w:p>
    <w:tbl>
      <w:tblPr>
        <w:tblStyle w:val="TableGrid"/>
        <w:tblW w:w="0" w:type="auto"/>
        <w:tblInd w:w="5" w:type="dxa"/>
        <w:tblLook w:val="04A0" w:firstRow="1" w:lastRow="0" w:firstColumn="1" w:lastColumn="0" w:noHBand="0" w:noVBand="1"/>
      </w:tblPr>
      <w:tblGrid>
        <w:gridCol w:w="1837"/>
        <w:gridCol w:w="2692"/>
        <w:gridCol w:w="1494"/>
        <w:gridCol w:w="1481"/>
        <w:gridCol w:w="13"/>
        <w:gridCol w:w="1494"/>
      </w:tblGrid>
      <w:tr w:rsidR="00BE2394" w:rsidTr="2C4B6C16" w14:paraId="79887BB8" w14:textId="77777777">
        <w:tc>
          <w:tcPr>
            <w:tcW w:w="1837" w:type="dxa"/>
          </w:tcPr>
          <w:p w:rsidRPr="005B48A6" w:rsidR="00BE2394" w:rsidP="005738DB" w:rsidRDefault="00BE2394" w14:paraId="67F0AD7B" w14:textId="29CCBB70">
            <w:pPr>
              <w:rPr>
                <w:sz w:val="21"/>
                <w:szCs w:val="21"/>
              </w:rPr>
            </w:pPr>
            <w:r>
              <w:rPr>
                <w:sz w:val="21"/>
                <w:szCs w:val="21"/>
              </w:rPr>
              <w:t>Project ID</w:t>
            </w:r>
          </w:p>
        </w:tc>
        <w:tc>
          <w:tcPr>
            <w:tcW w:w="7174" w:type="dxa"/>
            <w:gridSpan w:val="5"/>
          </w:tcPr>
          <w:p w:rsidRPr="005B48A6" w:rsidR="00BE2394" w:rsidP="005738DB" w:rsidRDefault="00771061" w14:paraId="173C25F2" w14:textId="7CF8086C">
            <w:pPr>
              <w:rPr>
                <w:sz w:val="21"/>
                <w:szCs w:val="21"/>
              </w:rPr>
            </w:pPr>
            <w:r>
              <w:rPr>
                <w:sz w:val="21"/>
                <w:szCs w:val="21"/>
              </w:rPr>
              <w:t>EEH_ANN_2324_004L</w:t>
            </w:r>
          </w:p>
        </w:tc>
      </w:tr>
      <w:tr w:rsidR="005738DB" w:rsidTr="2C4B6C16" w14:paraId="0500C5C0" w14:textId="77777777">
        <w:tc>
          <w:tcPr>
            <w:tcW w:w="1837" w:type="dxa"/>
          </w:tcPr>
          <w:p w:rsidRPr="005B48A6" w:rsidR="005738DB" w:rsidP="005738DB" w:rsidRDefault="005738DB" w14:paraId="1796E7F1" w14:textId="0BF2E773">
            <w:pPr>
              <w:rPr>
                <w:sz w:val="21"/>
                <w:szCs w:val="21"/>
              </w:rPr>
            </w:pPr>
            <w:r w:rsidRPr="005B48A6">
              <w:rPr>
                <w:sz w:val="21"/>
                <w:szCs w:val="21"/>
              </w:rPr>
              <w:t>Project Title</w:t>
            </w:r>
          </w:p>
        </w:tc>
        <w:tc>
          <w:tcPr>
            <w:tcW w:w="7174" w:type="dxa"/>
            <w:gridSpan w:val="5"/>
          </w:tcPr>
          <w:p w:rsidRPr="005B48A6" w:rsidR="005738DB" w:rsidP="005738DB" w:rsidRDefault="5EDDAD91" w14:paraId="134CD129" w14:textId="6C5A887F">
            <w:pPr>
              <w:rPr>
                <w:sz w:val="21"/>
                <w:szCs w:val="21"/>
              </w:rPr>
            </w:pPr>
            <w:r w:rsidRPr="2C4B6C16">
              <w:rPr>
                <w:sz w:val="21"/>
                <w:szCs w:val="21"/>
              </w:rPr>
              <w:t>Pathology Qualification</w:t>
            </w:r>
            <w:r w:rsidRPr="2C4B6C16" w:rsidR="677A5405">
              <w:rPr>
                <w:sz w:val="21"/>
                <w:szCs w:val="21"/>
              </w:rPr>
              <w:t xml:space="preserve"> Review</w:t>
            </w:r>
          </w:p>
        </w:tc>
      </w:tr>
      <w:tr w:rsidR="00BE2394" w:rsidTr="2C4B6C16" w14:paraId="3B2DDF78" w14:textId="77777777">
        <w:trPr>
          <w:trHeight w:val="59"/>
        </w:trPr>
        <w:tc>
          <w:tcPr>
            <w:tcW w:w="1837" w:type="dxa"/>
            <w:vMerge w:val="restart"/>
          </w:tcPr>
          <w:p w:rsidR="00951207" w:rsidP="005738DB" w:rsidRDefault="00BE2394" w14:paraId="45BD2C52" w14:textId="77777777">
            <w:pPr>
              <w:rPr>
                <w:sz w:val="21"/>
                <w:szCs w:val="21"/>
              </w:rPr>
            </w:pPr>
            <w:r w:rsidRPr="005B48A6">
              <w:rPr>
                <w:sz w:val="21"/>
                <w:szCs w:val="21"/>
              </w:rPr>
              <w:t>Project Scope</w:t>
            </w:r>
            <w:r w:rsidR="00951207">
              <w:rPr>
                <w:sz w:val="21"/>
                <w:szCs w:val="21"/>
              </w:rPr>
              <w:t xml:space="preserve"> </w:t>
            </w:r>
          </w:p>
          <w:p w:rsidRPr="005B48A6" w:rsidR="00BE2394" w:rsidP="005738DB" w:rsidRDefault="00841E02" w14:paraId="09AEFE8A" w14:textId="481AC325">
            <w:pPr>
              <w:rPr>
                <w:sz w:val="21"/>
                <w:szCs w:val="21"/>
              </w:rPr>
            </w:pPr>
            <w:r w:rsidRPr="00951207">
              <w:rPr>
                <w:color w:val="A6A6A6" w:themeColor="background1" w:themeShade="A6"/>
                <w:sz w:val="20"/>
                <w:szCs w:val="20"/>
              </w:rPr>
              <w:t xml:space="preserve">For a full list of training products, see appendix </w:t>
            </w:r>
            <w:r w:rsidRPr="00951207" w:rsidR="00951207">
              <w:rPr>
                <w:color w:val="A6A6A6" w:themeColor="background1" w:themeShade="A6"/>
                <w:sz w:val="20"/>
                <w:szCs w:val="20"/>
              </w:rPr>
              <w:t>A.</w:t>
            </w:r>
          </w:p>
        </w:tc>
        <w:tc>
          <w:tcPr>
            <w:tcW w:w="2692" w:type="dxa"/>
          </w:tcPr>
          <w:p w:rsidRPr="007D6857" w:rsidR="00BE2394" w:rsidP="005738DB" w:rsidRDefault="00BE2394" w14:paraId="5819C38C" w14:textId="011377A4">
            <w:pPr>
              <w:rPr>
                <w:b/>
                <w:bCs/>
                <w:sz w:val="21"/>
                <w:szCs w:val="21"/>
              </w:rPr>
            </w:pPr>
            <w:r w:rsidRPr="007D6857">
              <w:rPr>
                <w:b/>
                <w:bCs/>
                <w:sz w:val="21"/>
                <w:szCs w:val="21"/>
              </w:rPr>
              <w:t>No. of Training Products</w:t>
            </w:r>
          </w:p>
        </w:tc>
        <w:tc>
          <w:tcPr>
            <w:tcW w:w="1494" w:type="dxa"/>
          </w:tcPr>
          <w:p w:rsidRPr="005B48A6" w:rsidR="00BE2394" w:rsidP="005738DB" w:rsidRDefault="00BE2394" w14:paraId="6F6FB25D" w14:textId="5826BC48">
            <w:pPr>
              <w:rPr>
                <w:sz w:val="21"/>
                <w:szCs w:val="21"/>
              </w:rPr>
            </w:pPr>
            <w:r>
              <w:rPr>
                <w:sz w:val="21"/>
                <w:szCs w:val="21"/>
              </w:rPr>
              <w:t>Major</w:t>
            </w:r>
          </w:p>
        </w:tc>
        <w:tc>
          <w:tcPr>
            <w:tcW w:w="1494" w:type="dxa"/>
            <w:gridSpan w:val="2"/>
          </w:tcPr>
          <w:p w:rsidRPr="005B48A6" w:rsidR="00BE2394" w:rsidP="005738DB" w:rsidRDefault="00BE2394" w14:paraId="2B1A9831" w14:textId="045B4112">
            <w:pPr>
              <w:rPr>
                <w:sz w:val="21"/>
                <w:szCs w:val="21"/>
              </w:rPr>
            </w:pPr>
            <w:r>
              <w:rPr>
                <w:sz w:val="21"/>
                <w:szCs w:val="21"/>
              </w:rPr>
              <w:t>Minor</w:t>
            </w:r>
          </w:p>
        </w:tc>
        <w:tc>
          <w:tcPr>
            <w:tcW w:w="1494" w:type="dxa"/>
          </w:tcPr>
          <w:p w:rsidRPr="005B48A6" w:rsidR="00BE2394" w:rsidP="005738DB" w:rsidRDefault="00BE2394" w14:paraId="1967B8EB" w14:textId="5D599A7F">
            <w:pPr>
              <w:rPr>
                <w:sz w:val="21"/>
                <w:szCs w:val="21"/>
              </w:rPr>
            </w:pPr>
            <w:r>
              <w:rPr>
                <w:sz w:val="21"/>
                <w:szCs w:val="21"/>
              </w:rPr>
              <w:t>Total</w:t>
            </w:r>
          </w:p>
        </w:tc>
      </w:tr>
      <w:tr w:rsidR="00BE2394" w:rsidTr="2C4B6C16" w14:paraId="3E2FCB19" w14:textId="77777777">
        <w:trPr>
          <w:trHeight w:val="57"/>
        </w:trPr>
        <w:tc>
          <w:tcPr>
            <w:tcW w:w="1837" w:type="dxa"/>
            <w:vMerge/>
          </w:tcPr>
          <w:p w:rsidRPr="005B48A6" w:rsidR="00BE2394" w:rsidP="005738DB" w:rsidRDefault="00BE2394" w14:paraId="60FFAA1D" w14:textId="77777777">
            <w:pPr>
              <w:rPr>
                <w:sz w:val="21"/>
                <w:szCs w:val="21"/>
              </w:rPr>
            </w:pPr>
          </w:p>
        </w:tc>
        <w:tc>
          <w:tcPr>
            <w:tcW w:w="2692" w:type="dxa"/>
          </w:tcPr>
          <w:p w:rsidRPr="00BE2394" w:rsidR="00BE2394" w:rsidP="005738DB" w:rsidRDefault="00BE2394" w14:paraId="38A58722" w14:textId="78E8E5EC">
            <w:pPr>
              <w:rPr>
                <w:sz w:val="21"/>
                <w:szCs w:val="21"/>
              </w:rPr>
            </w:pPr>
            <w:r w:rsidRPr="00BE2394">
              <w:rPr>
                <w:sz w:val="21"/>
                <w:szCs w:val="21"/>
              </w:rPr>
              <w:t>Qualifications (s)</w:t>
            </w:r>
          </w:p>
        </w:tc>
        <w:tc>
          <w:tcPr>
            <w:tcW w:w="1494" w:type="dxa"/>
          </w:tcPr>
          <w:p w:rsidRPr="00BE2394" w:rsidR="00BE2394" w:rsidP="005738DB" w:rsidRDefault="00771061" w14:paraId="413DEDD5" w14:textId="5268083A">
            <w:pPr>
              <w:rPr>
                <w:sz w:val="21"/>
                <w:szCs w:val="21"/>
              </w:rPr>
            </w:pPr>
            <w:r>
              <w:rPr>
                <w:sz w:val="21"/>
                <w:szCs w:val="21"/>
              </w:rPr>
              <w:t>2</w:t>
            </w:r>
          </w:p>
        </w:tc>
        <w:tc>
          <w:tcPr>
            <w:tcW w:w="1494" w:type="dxa"/>
            <w:gridSpan w:val="2"/>
          </w:tcPr>
          <w:p w:rsidRPr="00BE2394" w:rsidR="00BE2394" w:rsidP="005738DB" w:rsidRDefault="00771061" w14:paraId="7FD9CCFB" w14:textId="1EC3F2D5">
            <w:pPr>
              <w:rPr>
                <w:sz w:val="21"/>
                <w:szCs w:val="21"/>
              </w:rPr>
            </w:pPr>
            <w:r>
              <w:rPr>
                <w:sz w:val="21"/>
                <w:szCs w:val="21"/>
              </w:rPr>
              <w:t>0</w:t>
            </w:r>
          </w:p>
        </w:tc>
        <w:tc>
          <w:tcPr>
            <w:tcW w:w="1494" w:type="dxa"/>
          </w:tcPr>
          <w:p w:rsidRPr="00BE2394" w:rsidR="00BE2394" w:rsidP="005738DB" w:rsidRDefault="00771061" w14:paraId="4B2DFC2B" w14:textId="5E478A34">
            <w:pPr>
              <w:rPr>
                <w:sz w:val="21"/>
                <w:szCs w:val="21"/>
              </w:rPr>
            </w:pPr>
            <w:r>
              <w:rPr>
                <w:sz w:val="21"/>
                <w:szCs w:val="21"/>
              </w:rPr>
              <w:t>2</w:t>
            </w:r>
          </w:p>
        </w:tc>
      </w:tr>
      <w:tr w:rsidR="00BE2394" w:rsidTr="2C4B6C16" w14:paraId="0BA73B7F" w14:textId="77777777">
        <w:trPr>
          <w:trHeight w:val="57"/>
        </w:trPr>
        <w:tc>
          <w:tcPr>
            <w:tcW w:w="1837" w:type="dxa"/>
            <w:vMerge/>
          </w:tcPr>
          <w:p w:rsidRPr="005B48A6" w:rsidR="00BE2394" w:rsidP="005738DB" w:rsidRDefault="00BE2394" w14:paraId="31EA779A" w14:textId="77777777">
            <w:pPr>
              <w:rPr>
                <w:sz w:val="21"/>
                <w:szCs w:val="21"/>
              </w:rPr>
            </w:pPr>
          </w:p>
        </w:tc>
        <w:tc>
          <w:tcPr>
            <w:tcW w:w="2692" w:type="dxa"/>
          </w:tcPr>
          <w:p w:rsidRPr="00BE2394" w:rsidR="00BE2394" w:rsidP="005738DB" w:rsidRDefault="00BE2394" w14:paraId="0AFB0EF0" w14:textId="2441D460">
            <w:pPr>
              <w:rPr>
                <w:sz w:val="21"/>
                <w:szCs w:val="21"/>
              </w:rPr>
            </w:pPr>
            <w:r>
              <w:rPr>
                <w:sz w:val="21"/>
                <w:szCs w:val="21"/>
              </w:rPr>
              <w:t>Unit(s) of competency</w:t>
            </w:r>
          </w:p>
        </w:tc>
        <w:tc>
          <w:tcPr>
            <w:tcW w:w="1494" w:type="dxa"/>
          </w:tcPr>
          <w:p w:rsidRPr="00BE2394" w:rsidR="00BE2394" w:rsidP="005738DB" w:rsidRDefault="00771061" w14:paraId="5C78C54F" w14:textId="2D32B93B">
            <w:pPr>
              <w:rPr>
                <w:sz w:val="21"/>
                <w:szCs w:val="21"/>
              </w:rPr>
            </w:pPr>
            <w:r>
              <w:rPr>
                <w:sz w:val="21"/>
                <w:szCs w:val="21"/>
              </w:rPr>
              <w:t>1</w:t>
            </w:r>
          </w:p>
        </w:tc>
        <w:tc>
          <w:tcPr>
            <w:tcW w:w="1494" w:type="dxa"/>
            <w:gridSpan w:val="2"/>
          </w:tcPr>
          <w:p w:rsidRPr="00BE2394" w:rsidR="00BE2394" w:rsidP="005738DB" w:rsidRDefault="00771061" w14:paraId="2036436A" w14:textId="0DF8D9B0">
            <w:pPr>
              <w:rPr>
                <w:sz w:val="21"/>
                <w:szCs w:val="21"/>
              </w:rPr>
            </w:pPr>
            <w:r>
              <w:rPr>
                <w:sz w:val="21"/>
                <w:szCs w:val="21"/>
              </w:rPr>
              <w:t>8</w:t>
            </w:r>
          </w:p>
        </w:tc>
        <w:tc>
          <w:tcPr>
            <w:tcW w:w="1494" w:type="dxa"/>
          </w:tcPr>
          <w:p w:rsidRPr="00BE2394" w:rsidR="00BE2394" w:rsidP="005738DB" w:rsidRDefault="00771061" w14:paraId="5CC4F992" w14:textId="798DC8E6">
            <w:pPr>
              <w:rPr>
                <w:sz w:val="21"/>
                <w:szCs w:val="21"/>
              </w:rPr>
            </w:pPr>
            <w:r>
              <w:rPr>
                <w:sz w:val="21"/>
                <w:szCs w:val="21"/>
              </w:rPr>
              <w:t>9</w:t>
            </w:r>
          </w:p>
        </w:tc>
      </w:tr>
      <w:tr w:rsidR="00BE2394" w:rsidTr="2C4B6C16" w14:paraId="6B82EF72" w14:textId="77777777">
        <w:trPr>
          <w:trHeight w:val="57"/>
        </w:trPr>
        <w:tc>
          <w:tcPr>
            <w:tcW w:w="1837" w:type="dxa"/>
            <w:vMerge/>
          </w:tcPr>
          <w:p w:rsidRPr="005B48A6" w:rsidR="00BE2394" w:rsidP="005738DB" w:rsidRDefault="00BE2394" w14:paraId="4A8F50E1" w14:textId="77777777">
            <w:pPr>
              <w:rPr>
                <w:sz w:val="21"/>
                <w:szCs w:val="21"/>
              </w:rPr>
            </w:pPr>
          </w:p>
        </w:tc>
        <w:tc>
          <w:tcPr>
            <w:tcW w:w="2692" w:type="dxa"/>
          </w:tcPr>
          <w:p w:rsidRPr="00BE2394" w:rsidR="00BE2394" w:rsidP="005738DB" w:rsidRDefault="00BE2394" w14:paraId="722534BC" w14:textId="489ADF6A">
            <w:pPr>
              <w:rPr>
                <w:sz w:val="21"/>
                <w:szCs w:val="21"/>
              </w:rPr>
            </w:pPr>
            <w:r>
              <w:rPr>
                <w:sz w:val="21"/>
                <w:szCs w:val="21"/>
              </w:rPr>
              <w:t>Skill Set(s)</w:t>
            </w:r>
          </w:p>
        </w:tc>
        <w:tc>
          <w:tcPr>
            <w:tcW w:w="1494" w:type="dxa"/>
          </w:tcPr>
          <w:p w:rsidRPr="00BE2394" w:rsidR="00BE2394" w:rsidP="005738DB" w:rsidRDefault="00771061" w14:paraId="18651380" w14:textId="7C106F9C">
            <w:pPr>
              <w:rPr>
                <w:sz w:val="21"/>
                <w:szCs w:val="21"/>
              </w:rPr>
            </w:pPr>
            <w:r>
              <w:rPr>
                <w:sz w:val="21"/>
                <w:szCs w:val="21"/>
              </w:rPr>
              <w:t>1</w:t>
            </w:r>
          </w:p>
        </w:tc>
        <w:tc>
          <w:tcPr>
            <w:tcW w:w="1494" w:type="dxa"/>
            <w:gridSpan w:val="2"/>
          </w:tcPr>
          <w:p w:rsidRPr="00BE2394" w:rsidR="00BE2394" w:rsidP="005738DB" w:rsidRDefault="00771061" w14:paraId="78A9CB12" w14:textId="1D96AC02">
            <w:pPr>
              <w:rPr>
                <w:sz w:val="21"/>
                <w:szCs w:val="21"/>
              </w:rPr>
            </w:pPr>
            <w:r>
              <w:rPr>
                <w:sz w:val="21"/>
                <w:szCs w:val="21"/>
              </w:rPr>
              <w:t>1</w:t>
            </w:r>
          </w:p>
        </w:tc>
        <w:tc>
          <w:tcPr>
            <w:tcW w:w="1494" w:type="dxa"/>
          </w:tcPr>
          <w:p w:rsidRPr="00BE2394" w:rsidR="00BE2394" w:rsidP="005738DB" w:rsidRDefault="00771061" w14:paraId="771E968F" w14:textId="385197A0">
            <w:pPr>
              <w:rPr>
                <w:sz w:val="21"/>
                <w:szCs w:val="21"/>
              </w:rPr>
            </w:pPr>
            <w:r>
              <w:rPr>
                <w:sz w:val="21"/>
                <w:szCs w:val="21"/>
              </w:rPr>
              <w:t>2</w:t>
            </w:r>
          </w:p>
        </w:tc>
      </w:tr>
      <w:tr w:rsidR="005738DB" w:rsidTr="2C4B6C16" w14:paraId="1048DBC7" w14:textId="77777777">
        <w:tc>
          <w:tcPr>
            <w:tcW w:w="7504" w:type="dxa"/>
            <w:gridSpan w:val="4"/>
          </w:tcPr>
          <w:p w:rsidRPr="005B48A6" w:rsidR="005738DB" w:rsidP="2C4B6C16" w:rsidRDefault="2B38ED9D" w14:paraId="6E581A32" w14:textId="4E443C28">
            <w:pPr>
              <w:rPr>
                <w:b/>
                <w:bCs/>
                <w:sz w:val="21"/>
                <w:szCs w:val="21"/>
              </w:rPr>
            </w:pPr>
            <w:r w:rsidRPr="2C4B6C16">
              <w:rPr>
                <w:b/>
                <w:bCs/>
                <w:sz w:val="21"/>
                <w:szCs w:val="21"/>
              </w:rPr>
              <w:t>Q1.</w:t>
            </w:r>
            <w:r w:rsidRPr="2C4B6C16" w:rsidR="0D32F656">
              <w:rPr>
                <w:b/>
                <w:bCs/>
                <w:sz w:val="21"/>
                <w:szCs w:val="21"/>
              </w:rPr>
              <w:t xml:space="preserve"> </w:t>
            </w:r>
            <w:r w:rsidRPr="2C4B6C16" w:rsidR="21015050">
              <w:rPr>
                <w:b/>
                <w:bCs/>
                <w:sz w:val="21"/>
                <w:szCs w:val="21"/>
              </w:rPr>
              <w:t>Are the training products written in plain English</w:t>
            </w:r>
            <w:r w:rsidRPr="2C4B6C16" w:rsidR="653A8ED8">
              <w:rPr>
                <w:b/>
                <w:bCs/>
                <w:sz w:val="21"/>
                <w:szCs w:val="21"/>
              </w:rPr>
              <w:t>, us</w:t>
            </w:r>
            <w:r w:rsidRPr="2C4B6C16" w:rsidR="072B218C">
              <w:rPr>
                <w:b/>
                <w:bCs/>
                <w:sz w:val="21"/>
                <w:szCs w:val="21"/>
              </w:rPr>
              <w:t>ing</w:t>
            </w:r>
            <w:r w:rsidRPr="2C4B6C16" w:rsidR="50AC955A">
              <w:rPr>
                <w:b/>
                <w:bCs/>
                <w:sz w:val="21"/>
                <w:szCs w:val="21"/>
              </w:rPr>
              <w:t xml:space="preserve"> contemporary,</w:t>
            </w:r>
            <w:r w:rsidRPr="2C4B6C16" w:rsidR="653A8ED8">
              <w:rPr>
                <w:b/>
                <w:bCs/>
                <w:sz w:val="21"/>
                <w:szCs w:val="21"/>
              </w:rPr>
              <w:t xml:space="preserve"> inclusive and representative language</w:t>
            </w:r>
            <w:r w:rsidRPr="2C4B6C16" w:rsidR="2D5DA59B">
              <w:rPr>
                <w:b/>
                <w:bCs/>
                <w:sz w:val="21"/>
                <w:szCs w:val="21"/>
              </w:rPr>
              <w:t xml:space="preserve">? </w:t>
            </w:r>
            <w:r w:rsidRPr="2C4B6C16" w:rsidR="0D32F656">
              <w:rPr>
                <w:b/>
                <w:bCs/>
                <w:sz w:val="21"/>
                <w:szCs w:val="21"/>
              </w:rPr>
              <w:t>How?</w:t>
            </w:r>
          </w:p>
        </w:tc>
        <w:tc>
          <w:tcPr>
            <w:tcW w:w="1507" w:type="dxa"/>
            <w:gridSpan w:val="2"/>
          </w:tcPr>
          <w:p w:rsidRPr="005B48A6" w:rsidR="005738DB" w:rsidP="005738DB" w:rsidRDefault="005738DB" w14:paraId="44F1EE1E" w14:textId="43015FBC">
            <w:pPr>
              <w:rPr>
                <w:sz w:val="21"/>
                <w:szCs w:val="21"/>
              </w:rPr>
            </w:pPr>
            <w:r w:rsidRPr="005B48A6">
              <w:rPr>
                <w:sz w:val="21"/>
                <w:szCs w:val="21"/>
              </w:rPr>
              <w:t>☐</w:t>
            </w:r>
            <w:r w:rsidR="00771061">
              <w:rPr>
                <w:sz w:val="21"/>
                <w:szCs w:val="21"/>
              </w:rPr>
              <w:t>x</w:t>
            </w:r>
            <w:r w:rsidRPr="005B48A6">
              <w:rPr>
                <w:sz w:val="21"/>
                <w:szCs w:val="21"/>
              </w:rPr>
              <w:t xml:space="preserve"> Yes ☐ No</w:t>
            </w:r>
          </w:p>
        </w:tc>
      </w:tr>
      <w:tr w:rsidR="00BE2394" w:rsidTr="2C4B6C16" w14:paraId="08C27094" w14:textId="77777777">
        <w:tc>
          <w:tcPr>
            <w:tcW w:w="9011" w:type="dxa"/>
            <w:gridSpan w:val="6"/>
          </w:tcPr>
          <w:p w:rsidR="00BE2394" w:rsidP="005738DB" w:rsidRDefault="00BE2394" w14:paraId="40B8C869" w14:textId="77777777">
            <w:pPr>
              <w:rPr>
                <w:i/>
                <w:iCs/>
                <w:color w:val="BFBFBF" w:themeColor="background1" w:themeShade="BF"/>
                <w:sz w:val="18"/>
                <w:szCs w:val="18"/>
              </w:rPr>
            </w:pPr>
          </w:p>
          <w:p w:rsidR="00BE2394" w:rsidP="2C4B6C16" w:rsidRDefault="677CB4D8" w14:paraId="2D2FB2B5" w14:textId="5F5D5D89">
            <w:pPr>
              <w:rPr>
                <w:sz w:val="22"/>
                <w:szCs w:val="22"/>
              </w:rPr>
            </w:pPr>
            <w:r w:rsidRPr="2C4B6C16">
              <w:rPr>
                <w:sz w:val="22"/>
                <w:szCs w:val="22"/>
              </w:rPr>
              <w:t>Yes, the training products are written in plain English, using c</w:t>
            </w:r>
            <w:r w:rsidRPr="2C4B6C16" w:rsidR="70ADE6E1">
              <w:rPr>
                <w:sz w:val="22"/>
                <w:szCs w:val="22"/>
              </w:rPr>
              <w:t>ontemporary language</w:t>
            </w:r>
            <w:r w:rsidRPr="2C4B6C16" w:rsidR="56D7426B">
              <w:rPr>
                <w:sz w:val="22"/>
                <w:szCs w:val="22"/>
              </w:rPr>
              <w:t>, inclusive and representative language. This has been achieved by simplifying complex terms and avoiding jargon to ensure clarity and ease of understanding for all learners</w:t>
            </w:r>
            <w:r w:rsidRPr="2C4B6C16" w:rsidR="4F22B378">
              <w:rPr>
                <w:sz w:val="22"/>
                <w:szCs w:val="22"/>
              </w:rPr>
              <w:t>.</w:t>
            </w:r>
            <w:r w:rsidRPr="2C4B6C16" w:rsidR="791B66A6">
              <w:rPr>
                <w:sz w:val="22"/>
                <w:szCs w:val="22"/>
              </w:rPr>
              <w:t xml:space="preserve"> The language was selected to be respectful and reflective of diverse groups, avoiding stereotypes or exclusionary expressions. </w:t>
            </w:r>
          </w:p>
          <w:p w:rsidR="00BE2394" w:rsidP="2C4B6C16" w:rsidRDefault="00BE2394" w14:paraId="437F613E" w14:textId="7C4A89CA">
            <w:pPr>
              <w:rPr>
                <w:sz w:val="22"/>
                <w:szCs w:val="22"/>
              </w:rPr>
            </w:pPr>
          </w:p>
        </w:tc>
      </w:tr>
      <w:tr w:rsidR="005738DB" w:rsidTr="2C4B6C16" w14:paraId="1718DC36" w14:textId="77777777">
        <w:tc>
          <w:tcPr>
            <w:tcW w:w="7504" w:type="dxa"/>
            <w:gridSpan w:val="4"/>
          </w:tcPr>
          <w:p w:rsidRPr="005B48A6" w:rsidR="005738DB" w:rsidP="2C4B6C16" w:rsidRDefault="2B38ED9D" w14:paraId="0837D1A4" w14:textId="0281826E">
            <w:pPr>
              <w:rPr>
                <w:b/>
                <w:bCs/>
                <w:sz w:val="21"/>
                <w:szCs w:val="21"/>
              </w:rPr>
            </w:pPr>
            <w:r w:rsidRPr="2C4B6C16">
              <w:rPr>
                <w:b/>
                <w:bCs/>
                <w:sz w:val="21"/>
                <w:szCs w:val="21"/>
              </w:rPr>
              <w:t xml:space="preserve">Q2. </w:t>
            </w:r>
            <w:r w:rsidRPr="2C4B6C16" w:rsidR="65FF5002">
              <w:rPr>
                <w:b/>
                <w:bCs/>
                <w:sz w:val="21"/>
                <w:szCs w:val="21"/>
              </w:rPr>
              <w:t>Have term</w:t>
            </w:r>
            <w:r w:rsidRPr="2C4B6C16" w:rsidR="77324885">
              <w:rPr>
                <w:b/>
                <w:bCs/>
                <w:sz w:val="21"/>
                <w:szCs w:val="21"/>
              </w:rPr>
              <w:t>inology</w:t>
            </w:r>
            <w:r w:rsidRPr="2C4B6C16" w:rsidR="65FF5002">
              <w:rPr>
                <w:b/>
                <w:bCs/>
                <w:sz w:val="21"/>
                <w:szCs w:val="21"/>
              </w:rPr>
              <w:t xml:space="preserve"> been reviewed for sector-appropriate alternatives that are non-discriminatory?</w:t>
            </w:r>
            <w:r w:rsidRPr="2C4B6C16" w:rsidR="0D32F656">
              <w:rPr>
                <w:b/>
                <w:bCs/>
                <w:sz w:val="21"/>
                <w:szCs w:val="21"/>
              </w:rPr>
              <w:t xml:space="preserve"> How?</w:t>
            </w:r>
          </w:p>
        </w:tc>
        <w:tc>
          <w:tcPr>
            <w:tcW w:w="1507" w:type="dxa"/>
            <w:gridSpan w:val="2"/>
          </w:tcPr>
          <w:p w:rsidRPr="005B48A6" w:rsidR="005738DB" w:rsidRDefault="005738DB" w14:paraId="60722C42" w14:textId="0F0B614A">
            <w:pPr>
              <w:rPr>
                <w:sz w:val="21"/>
                <w:szCs w:val="21"/>
              </w:rPr>
            </w:pPr>
            <w:r w:rsidRPr="005B48A6">
              <w:rPr>
                <w:sz w:val="21"/>
                <w:szCs w:val="21"/>
              </w:rPr>
              <w:t xml:space="preserve">☐ </w:t>
            </w:r>
            <w:r w:rsidR="00771061">
              <w:rPr>
                <w:sz w:val="21"/>
                <w:szCs w:val="21"/>
              </w:rPr>
              <w:t xml:space="preserve">x </w:t>
            </w:r>
            <w:r w:rsidRPr="005B48A6">
              <w:rPr>
                <w:sz w:val="21"/>
                <w:szCs w:val="21"/>
              </w:rPr>
              <w:t>Yes ☐ No</w:t>
            </w:r>
          </w:p>
        </w:tc>
      </w:tr>
      <w:tr w:rsidR="00BE2394" w:rsidTr="2C4B6C16" w14:paraId="77EAF1C0" w14:textId="77777777">
        <w:tc>
          <w:tcPr>
            <w:tcW w:w="9011" w:type="dxa"/>
            <w:gridSpan w:val="6"/>
          </w:tcPr>
          <w:p w:rsidR="2C4B6C16" w:rsidP="2C4B6C16" w:rsidRDefault="2C4B6C16" w14:paraId="1791E7C6" w14:textId="0121D421">
            <w:pPr>
              <w:rPr>
                <w:sz w:val="22"/>
                <w:szCs w:val="22"/>
              </w:rPr>
            </w:pPr>
          </w:p>
          <w:p w:rsidR="00BE2394" w:rsidP="2C4B6C16" w:rsidRDefault="0939D4CB" w14:paraId="576F56F5" w14:textId="2EDAE444">
            <w:pPr>
              <w:rPr>
                <w:sz w:val="22"/>
                <w:szCs w:val="22"/>
              </w:rPr>
            </w:pPr>
            <w:r w:rsidRPr="2C4B6C16">
              <w:rPr>
                <w:sz w:val="22"/>
                <w:szCs w:val="22"/>
              </w:rPr>
              <w:t>Yes, t</w:t>
            </w:r>
            <w:r w:rsidRPr="2C4B6C16" w:rsidR="70ADE6E1">
              <w:rPr>
                <w:sz w:val="22"/>
                <w:szCs w:val="22"/>
              </w:rPr>
              <w:t xml:space="preserve">erminology </w:t>
            </w:r>
            <w:r w:rsidRPr="2C4B6C16" w:rsidR="161A8C5E">
              <w:rPr>
                <w:sz w:val="22"/>
                <w:szCs w:val="22"/>
              </w:rPr>
              <w:t xml:space="preserve">has been </w:t>
            </w:r>
            <w:r w:rsidRPr="2C4B6C16" w:rsidR="50E75190">
              <w:rPr>
                <w:sz w:val="22"/>
                <w:szCs w:val="22"/>
              </w:rPr>
              <w:t>reviewed to ensure the use of sector-appropriate alternatives that are non-discriminatory</w:t>
            </w:r>
            <w:r w:rsidRPr="2C4B6C16" w:rsidR="161A8C5E">
              <w:rPr>
                <w:sz w:val="22"/>
                <w:szCs w:val="22"/>
              </w:rPr>
              <w:t>.</w:t>
            </w:r>
            <w:r w:rsidRPr="2C4B6C16" w:rsidR="37DA33E0">
              <w:rPr>
                <w:sz w:val="22"/>
                <w:szCs w:val="22"/>
              </w:rPr>
              <w:t xml:space="preserve"> Where necessary, outdated or potentially biased terms were replaced with inclusive, respectful language that reflects current industry standard</w:t>
            </w:r>
            <w:r w:rsidRPr="2C4B6C16" w:rsidR="38AFC73F">
              <w:rPr>
                <w:sz w:val="22"/>
                <w:szCs w:val="22"/>
              </w:rPr>
              <w:t xml:space="preserve">s </w:t>
            </w:r>
            <w:r w:rsidRPr="2C4B6C16" w:rsidR="37DA33E0">
              <w:rPr>
                <w:sz w:val="22"/>
                <w:szCs w:val="22"/>
              </w:rPr>
              <w:t xml:space="preserve">and promotes equality. </w:t>
            </w:r>
          </w:p>
          <w:p w:rsidR="00BE2394" w:rsidP="2C4B6C16" w:rsidRDefault="00BE2394" w14:paraId="299C9ACA" w14:textId="1FCBE2B1">
            <w:pPr>
              <w:rPr>
                <w:sz w:val="22"/>
                <w:szCs w:val="22"/>
              </w:rPr>
            </w:pPr>
          </w:p>
        </w:tc>
      </w:tr>
      <w:tr w:rsidRPr="005B48A6" w:rsidR="00BE2394" w:rsidTr="2C4B6C16" w14:paraId="6AE4AA92" w14:textId="77777777">
        <w:tc>
          <w:tcPr>
            <w:tcW w:w="7504" w:type="dxa"/>
            <w:gridSpan w:val="4"/>
          </w:tcPr>
          <w:p w:rsidRPr="005B48A6" w:rsidR="00BE2394" w:rsidP="2C4B6C16" w:rsidRDefault="0D32F656" w14:paraId="289F52F0" w14:textId="706C37BD">
            <w:pPr>
              <w:rPr>
                <w:b/>
                <w:bCs/>
                <w:sz w:val="21"/>
                <w:szCs w:val="21"/>
              </w:rPr>
            </w:pPr>
            <w:r w:rsidRPr="2C4B6C16">
              <w:rPr>
                <w:b/>
                <w:bCs/>
                <w:sz w:val="21"/>
                <w:szCs w:val="21"/>
              </w:rPr>
              <w:t xml:space="preserve">Q3. Have prerequisites or entry requirements that could create barriers for a broad range of individuals been considered? How? </w:t>
            </w:r>
          </w:p>
        </w:tc>
        <w:tc>
          <w:tcPr>
            <w:tcW w:w="1507" w:type="dxa"/>
            <w:gridSpan w:val="2"/>
          </w:tcPr>
          <w:p w:rsidR="00BE2394" w:rsidP="008A2B5D" w:rsidRDefault="00BE2394" w14:paraId="233D99A0" w14:textId="0F896EA2">
            <w:pPr>
              <w:rPr>
                <w:sz w:val="21"/>
                <w:szCs w:val="21"/>
              </w:rPr>
            </w:pPr>
            <w:r w:rsidRPr="005B48A6">
              <w:rPr>
                <w:sz w:val="21"/>
                <w:szCs w:val="21"/>
              </w:rPr>
              <w:t xml:space="preserve">☐ </w:t>
            </w:r>
            <w:r w:rsidR="00771061">
              <w:rPr>
                <w:sz w:val="21"/>
                <w:szCs w:val="21"/>
              </w:rPr>
              <w:t xml:space="preserve">x </w:t>
            </w:r>
            <w:r w:rsidRPr="005B48A6">
              <w:rPr>
                <w:sz w:val="21"/>
                <w:szCs w:val="21"/>
              </w:rPr>
              <w:t>Yes ☐ No</w:t>
            </w:r>
            <w:r>
              <w:rPr>
                <w:sz w:val="21"/>
                <w:szCs w:val="21"/>
              </w:rPr>
              <w:t xml:space="preserve"> </w:t>
            </w:r>
          </w:p>
          <w:p w:rsidRPr="005B48A6" w:rsidR="00BE2394" w:rsidP="008A2B5D" w:rsidRDefault="00BE2394" w14:paraId="033D8A06" w14:textId="63A099EA">
            <w:pPr>
              <w:rPr>
                <w:sz w:val="21"/>
                <w:szCs w:val="21"/>
              </w:rPr>
            </w:pPr>
            <w:r w:rsidRPr="005B48A6">
              <w:rPr>
                <w:sz w:val="21"/>
                <w:szCs w:val="21"/>
              </w:rPr>
              <w:t>☐ N</w:t>
            </w:r>
            <w:r>
              <w:rPr>
                <w:sz w:val="21"/>
                <w:szCs w:val="21"/>
              </w:rPr>
              <w:t>A</w:t>
            </w:r>
          </w:p>
        </w:tc>
      </w:tr>
      <w:tr w:rsidR="00BE2394" w:rsidTr="2C4B6C16" w14:paraId="20B0275A" w14:textId="77777777">
        <w:tc>
          <w:tcPr>
            <w:tcW w:w="9011" w:type="dxa"/>
            <w:gridSpan w:val="6"/>
          </w:tcPr>
          <w:p w:rsidR="00BE2394" w:rsidP="008A2B5D" w:rsidRDefault="00BE2394" w14:paraId="0C56A07C" w14:textId="77777777">
            <w:pPr>
              <w:rPr>
                <w:i/>
                <w:iCs/>
                <w:color w:val="BFBFBF" w:themeColor="background1" w:themeShade="BF"/>
                <w:sz w:val="18"/>
                <w:szCs w:val="18"/>
              </w:rPr>
            </w:pPr>
          </w:p>
          <w:p w:rsidR="00BE2394" w:rsidP="2C4B6C16" w:rsidRDefault="70ADE6E1" w14:paraId="04810758" w14:textId="5CB8D965">
            <w:pPr>
              <w:rPr>
                <w:sz w:val="22"/>
                <w:szCs w:val="22"/>
              </w:rPr>
            </w:pPr>
            <w:r w:rsidRPr="2C4B6C16">
              <w:rPr>
                <w:sz w:val="22"/>
                <w:szCs w:val="22"/>
              </w:rPr>
              <w:t xml:space="preserve">Prerequisites and entry requirements </w:t>
            </w:r>
            <w:r w:rsidRPr="2C4B6C16" w:rsidR="51D7FC2A">
              <w:rPr>
                <w:sz w:val="22"/>
                <w:szCs w:val="22"/>
              </w:rPr>
              <w:t>have been designed to be inclusive and not create barriers to access.</w:t>
            </w:r>
            <w:r w:rsidRPr="2C4B6C16" w:rsidR="1C0542BD">
              <w:rPr>
                <w:sz w:val="22"/>
                <w:szCs w:val="22"/>
              </w:rPr>
              <w:t xml:space="preserve"> This involved reviewing existing criteria to ensure they are necessary, reasonable and directly related to the skills and knowledge needed for the qualification.</w:t>
            </w:r>
          </w:p>
          <w:p w:rsidR="00BE2394" w:rsidP="2C4B6C16" w:rsidRDefault="00BE2394" w14:paraId="774156E9" w14:textId="6ABFAFFD">
            <w:pPr>
              <w:rPr>
                <w:sz w:val="22"/>
                <w:szCs w:val="22"/>
              </w:rPr>
            </w:pPr>
          </w:p>
        </w:tc>
      </w:tr>
    </w:tbl>
    <w:p w:rsidR="004F7D40" w:rsidP="2C4B6C16" w:rsidRDefault="0CB3E1FD" w14:paraId="08B8D871" w14:textId="01C6FDFA">
      <w:pPr>
        <w:rPr>
          <w:b/>
          <w:bCs/>
        </w:rPr>
      </w:pPr>
      <w:r w:rsidRPr="2C4B6C16">
        <w:rPr>
          <w:b/>
          <w:bCs/>
        </w:rPr>
        <w:t>Qualifications</w:t>
      </w:r>
      <w:r w:rsidRPr="2C4B6C16" w:rsidR="355F3D09">
        <w:rPr>
          <w:b/>
          <w:bCs/>
        </w:rPr>
        <w:t xml:space="preserve"> only </w:t>
      </w:r>
    </w:p>
    <w:tbl>
      <w:tblPr>
        <w:tblStyle w:val="TableGrid"/>
        <w:tblW w:w="0" w:type="auto"/>
        <w:tblLook w:val="04A0" w:firstRow="1" w:lastRow="0" w:firstColumn="1" w:lastColumn="0" w:noHBand="0" w:noVBand="1"/>
      </w:tblPr>
      <w:tblGrid>
        <w:gridCol w:w="7508"/>
        <w:gridCol w:w="1508"/>
      </w:tblGrid>
      <w:tr w:rsidRPr="005B48A6" w:rsidR="00BE2394" w:rsidTr="2C4B6C16" w14:paraId="7D68EC5B" w14:textId="77777777">
        <w:tc>
          <w:tcPr>
            <w:tcW w:w="7508" w:type="dxa"/>
          </w:tcPr>
          <w:p w:rsidRPr="005B48A6" w:rsidR="00BE2394" w:rsidP="008A2B5D" w:rsidRDefault="00BE2394" w14:paraId="7C078F42" w14:textId="4ED1FEBD">
            <w:pPr>
              <w:rPr>
                <w:sz w:val="21"/>
                <w:szCs w:val="21"/>
              </w:rPr>
            </w:pPr>
            <w:r>
              <w:br w:type="page"/>
            </w:r>
            <w:r w:rsidRPr="2C4B6C16" w:rsidR="0D32F656">
              <w:rPr>
                <w:b/>
                <w:bCs/>
                <w:sz w:val="21"/>
                <w:szCs w:val="21"/>
              </w:rPr>
              <w:t>Q4. Does the product design offer multiple entry and exit points to promote flexibility and access for a broad range of individuals? How?</w:t>
            </w:r>
          </w:p>
        </w:tc>
        <w:tc>
          <w:tcPr>
            <w:tcW w:w="1508" w:type="dxa"/>
          </w:tcPr>
          <w:p w:rsidR="00BE2394" w:rsidP="008A2B5D" w:rsidRDefault="00BE2394" w14:paraId="3404F1D5" w14:textId="30349304">
            <w:pPr>
              <w:rPr>
                <w:sz w:val="21"/>
                <w:szCs w:val="21"/>
              </w:rPr>
            </w:pPr>
            <w:r w:rsidRPr="005B48A6">
              <w:rPr>
                <w:sz w:val="21"/>
                <w:szCs w:val="21"/>
              </w:rPr>
              <w:t xml:space="preserve">☐ </w:t>
            </w:r>
            <w:r w:rsidR="00771061">
              <w:rPr>
                <w:sz w:val="21"/>
                <w:szCs w:val="21"/>
              </w:rPr>
              <w:t xml:space="preserve">x </w:t>
            </w:r>
            <w:r w:rsidRPr="005B48A6">
              <w:rPr>
                <w:sz w:val="21"/>
                <w:szCs w:val="21"/>
              </w:rPr>
              <w:t>Yes ☐ No</w:t>
            </w:r>
          </w:p>
          <w:p w:rsidRPr="005B48A6" w:rsidR="00690609" w:rsidP="008A2B5D" w:rsidRDefault="00690609" w14:paraId="490FC798" w14:textId="3CBE3DFD">
            <w:pPr>
              <w:rPr>
                <w:sz w:val="21"/>
                <w:szCs w:val="21"/>
              </w:rPr>
            </w:pPr>
            <w:r w:rsidRPr="005B48A6">
              <w:rPr>
                <w:sz w:val="21"/>
                <w:szCs w:val="21"/>
              </w:rPr>
              <w:t>☐ N</w:t>
            </w:r>
            <w:r>
              <w:rPr>
                <w:sz w:val="21"/>
                <w:szCs w:val="21"/>
              </w:rPr>
              <w:t>A</w:t>
            </w:r>
          </w:p>
        </w:tc>
      </w:tr>
      <w:tr w:rsidR="00BE2394" w:rsidTr="2C4B6C16" w14:paraId="2EFC4654" w14:textId="77777777">
        <w:tc>
          <w:tcPr>
            <w:tcW w:w="9016" w:type="dxa"/>
            <w:gridSpan w:val="2"/>
          </w:tcPr>
          <w:p w:rsidR="00BE2394" w:rsidP="008A2B5D" w:rsidRDefault="00BE2394" w14:paraId="4AC4567F" w14:textId="77777777">
            <w:pPr>
              <w:rPr>
                <w:i/>
                <w:iCs/>
                <w:color w:val="BFBFBF" w:themeColor="background1" w:themeShade="BF"/>
                <w:sz w:val="18"/>
                <w:szCs w:val="18"/>
              </w:rPr>
            </w:pPr>
          </w:p>
          <w:p w:rsidR="07A57A0B" w:rsidP="2C4B6C16" w:rsidRDefault="07A57A0B" w14:paraId="1815C7A9" w14:textId="2DA8F4BD">
            <w:pPr>
              <w:rPr>
                <w:rFonts w:ascii="Aptos" w:hAnsi="Aptos" w:eastAsia="Aptos"/>
                <w:sz w:val="22"/>
                <w:szCs w:val="22"/>
              </w:rPr>
            </w:pPr>
            <w:r w:rsidRPr="2C4B6C16">
              <w:rPr>
                <w:rFonts w:ascii="Aptos" w:hAnsi="Aptos" w:eastAsia="Aptos"/>
                <w:sz w:val="22"/>
                <w:szCs w:val="22"/>
              </w:rPr>
              <w:t>Yes, the product design offers multiple entry and exit points to promote flexibility and access for a broad range of individuals. Product design has been amended to a merged qualification which allows candidates to choose a stream of mandatory electives and other appropriate electives to meet their preferred qualification. This structure supports customised learning pathways aligned with individual goals and industry needs. Additionally, the product includes two skill sets to support those candidates who do not require the full qualification. This flexible design enables learners to enter or exit the program at different stages, accommodating varying levels of experience, learning needs, and career objectives.</w:t>
            </w:r>
          </w:p>
          <w:p w:rsidR="00BE2394" w:rsidP="008A2B5D" w:rsidRDefault="00BE2394" w14:paraId="67A48E84" w14:textId="77777777"/>
        </w:tc>
      </w:tr>
      <w:tr w:rsidR="00BE2394" w:rsidTr="2C4B6C16" w14:paraId="07FC0951" w14:textId="77777777">
        <w:tc>
          <w:tcPr>
            <w:tcW w:w="7508" w:type="dxa"/>
          </w:tcPr>
          <w:p w:rsidR="00BE2394" w:rsidP="2C4B6C16" w:rsidRDefault="0D32F656" w14:paraId="31F951C7" w14:textId="05E63FF1">
            <w:pPr>
              <w:rPr>
                <w:b/>
                <w:bCs/>
                <w:i/>
                <w:iCs/>
                <w:color w:val="BFBFBF" w:themeColor="background1" w:themeShade="BF"/>
                <w:sz w:val="18"/>
                <w:szCs w:val="18"/>
              </w:rPr>
            </w:pPr>
            <w:r w:rsidRPr="2C4B6C16">
              <w:rPr>
                <w:b/>
                <w:bCs/>
                <w:sz w:val="21"/>
                <w:szCs w:val="21"/>
              </w:rPr>
              <w:t>Q5. Does the design of the packaging rules offer a range of elective choices to cater to the diverse needs and interests of learners? (For Qualifications)</w:t>
            </w:r>
          </w:p>
        </w:tc>
        <w:tc>
          <w:tcPr>
            <w:tcW w:w="1508" w:type="dxa"/>
          </w:tcPr>
          <w:p w:rsidR="00BE2394" w:rsidP="00BE2394" w:rsidRDefault="00BE2394" w14:paraId="2B7AC45D" w14:textId="4315155A">
            <w:pPr>
              <w:rPr>
                <w:sz w:val="21"/>
                <w:szCs w:val="21"/>
              </w:rPr>
            </w:pPr>
            <w:r w:rsidRPr="005B48A6">
              <w:rPr>
                <w:sz w:val="21"/>
                <w:szCs w:val="21"/>
              </w:rPr>
              <w:t xml:space="preserve">☐ </w:t>
            </w:r>
            <w:r w:rsidR="00771061">
              <w:rPr>
                <w:sz w:val="21"/>
                <w:szCs w:val="21"/>
              </w:rPr>
              <w:t xml:space="preserve">x </w:t>
            </w:r>
            <w:r w:rsidRPr="005B48A6">
              <w:rPr>
                <w:sz w:val="21"/>
                <w:szCs w:val="21"/>
              </w:rPr>
              <w:t>Yes ☐ No</w:t>
            </w:r>
          </w:p>
          <w:p w:rsidR="00690609" w:rsidP="00BE2394" w:rsidRDefault="00690609" w14:paraId="44C300A1" w14:textId="1FCBFFF3">
            <w:r w:rsidRPr="005B48A6">
              <w:rPr>
                <w:sz w:val="21"/>
                <w:szCs w:val="21"/>
              </w:rPr>
              <w:t>☐ N</w:t>
            </w:r>
            <w:r>
              <w:rPr>
                <w:sz w:val="21"/>
                <w:szCs w:val="21"/>
              </w:rPr>
              <w:t>A</w:t>
            </w:r>
          </w:p>
        </w:tc>
      </w:tr>
      <w:tr w:rsidR="00BE2394" w:rsidTr="2C4B6C16" w14:paraId="6C12DAEE" w14:textId="77777777">
        <w:tc>
          <w:tcPr>
            <w:tcW w:w="9016" w:type="dxa"/>
            <w:gridSpan w:val="2"/>
          </w:tcPr>
          <w:p w:rsidR="006B07FC" w:rsidP="2C4B6C16" w:rsidRDefault="006B07FC" w14:paraId="584ECE37" w14:textId="4673CCF3">
            <w:pPr>
              <w:rPr>
                <w:i/>
                <w:iCs/>
                <w:color w:val="BFBFBF" w:themeColor="background1" w:themeShade="BF"/>
                <w:sz w:val="18"/>
                <w:szCs w:val="18"/>
              </w:rPr>
            </w:pPr>
          </w:p>
          <w:p w:rsidRPr="005B48A6" w:rsidR="006B07FC" w:rsidP="2C4B6C16" w:rsidRDefault="4847F62E" w14:paraId="723128A3" w14:textId="0B48E74A">
            <w:pPr>
              <w:rPr>
                <w:sz w:val="22"/>
                <w:szCs w:val="22"/>
              </w:rPr>
            </w:pPr>
            <w:r w:rsidRPr="2C4B6C16">
              <w:rPr>
                <w:sz w:val="22"/>
                <w:szCs w:val="22"/>
              </w:rPr>
              <w:t>Yes,</w:t>
            </w:r>
            <w:r w:rsidRPr="2C4B6C16" w:rsidR="2B77C20A">
              <w:rPr>
                <w:sz w:val="22"/>
                <w:szCs w:val="22"/>
              </w:rPr>
              <w:t xml:space="preserve"> the design of the packaging rules </w:t>
            </w:r>
            <w:r w:rsidRPr="2C4B6C16" w:rsidR="11CD0811">
              <w:rPr>
                <w:sz w:val="22"/>
                <w:szCs w:val="22"/>
              </w:rPr>
              <w:t>offers</w:t>
            </w:r>
            <w:r w:rsidRPr="2C4B6C16" w:rsidR="2B77C20A">
              <w:rPr>
                <w:sz w:val="22"/>
                <w:szCs w:val="22"/>
              </w:rPr>
              <w:t xml:space="preserve"> a wide range of elective choices to </w:t>
            </w:r>
            <w:r w:rsidRPr="2C4B6C16" w:rsidR="7A1FEA91">
              <w:rPr>
                <w:sz w:val="22"/>
                <w:szCs w:val="22"/>
              </w:rPr>
              <w:t>c</w:t>
            </w:r>
            <w:r w:rsidRPr="2C4B6C16" w:rsidR="2B77C20A">
              <w:rPr>
                <w:sz w:val="22"/>
                <w:szCs w:val="22"/>
              </w:rPr>
              <w:t xml:space="preserve">ater to the diverse needs and interests of learners. By </w:t>
            </w:r>
            <w:r w:rsidRPr="2C4B6C16" w:rsidR="70ADE6E1">
              <w:rPr>
                <w:sz w:val="22"/>
                <w:szCs w:val="22"/>
              </w:rPr>
              <w:t>includ</w:t>
            </w:r>
            <w:r w:rsidRPr="2C4B6C16" w:rsidR="0EF45149">
              <w:rPr>
                <w:sz w:val="22"/>
                <w:szCs w:val="22"/>
              </w:rPr>
              <w:t>ing</w:t>
            </w:r>
            <w:r w:rsidRPr="2C4B6C16" w:rsidR="70ADE6E1">
              <w:rPr>
                <w:sz w:val="22"/>
                <w:szCs w:val="22"/>
              </w:rPr>
              <w:t xml:space="preserve"> an extensive elective bank for each stream</w:t>
            </w:r>
            <w:r w:rsidRPr="2C4B6C16" w:rsidR="21201368">
              <w:rPr>
                <w:sz w:val="22"/>
                <w:szCs w:val="22"/>
              </w:rPr>
              <w:t xml:space="preserve">, learners can tailor their qualification to suit their career goals, prior experiences and </w:t>
            </w:r>
            <w:r w:rsidRPr="2C4B6C16" w:rsidR="21201368">
              <w:rPr>
                <w:sz w:val="22"/>
                <w:szCs w:val="22"/>
              </w:rPr>
              <w:lastRenderedPageBreak/>
              <w:t xml:space="preserve">personal interests. The flexible structure supports a variety of pathways and allows </w:t>
            </w:r>
            <w:r w:rsidRPr="2C4B6C16" w:rsidR="6005DBFA">
              <w:rPr>
                <w:sz w:val="22"/>
                <w:szCs w:val="22"/>
              </w:rPr>
              <w:t>individuals</w:t>
            </w:r>
            <w:r w:rsidRPr="2C4B6C16" w:rsidR="21201368">
              <w:rPr>
                <w:sz w:val="22"/>
                <w:szCs w:val="22"/>
              </w:rPr>
              <w:t xml:space="preserve"> to develop skills most relevant to their chos</w:t>
            </w:r>
            <w:r w:rsidRPr="2C4B6C16" w:rsidR="23830FA4">
              <w:rPr>
                <w:sz w:val="22"/>
                <w:szCs w:val="22"/>
              </w:rPr>
              <w:t>e</w:t>
            </w:r>
            <w:r w:rsidRPr="2C4B6C16" w:rsidR="171DB8E8">
              <w:rPr>
                <w:sz w:val="22"/>
                <w:szCs w:val="22"/>
              </w:rPr>
              <w:t>n</w:t>
            </w:r>
            <w:r w:rsidRPr="2C4B6C16" w:rsidR="23830FA4">
              <w:rPr>
                <w:sz w:val="22"/>
                <w:szCs w:val="22"/>
              </w:rPr>
              <w:t xml:space="preserve"> indust</w:t>
            </w:r>
            <w:r w:rsidRPr="2C4B6C16" w:rsidR="263103BD">
              <w:rPr>
                <w:sz w:val="22"/>
                <w:szCs w:val="22"/>
              </w:rPr>
              <w:t>r</w:t>
            </w:r>
            <w:r w:rsidRPr="2C4B6C16" w:rsidR="23830FA4">
              <w:rPr>
                <w:sz w:val="22"/>
                <w:szCs w:val="22"/>
              </w:rPr>
              <w:t xml:space="preserve">y or role. </w:t>
            </w:r>
          </w:p>
          <w:p w:rsidRPr="005B48A6" w:rsidR="006B07FC" w:rsidP="2C4B6C16" w:rsidRDefault="006B07FC" w14:paraId="46B36ABE" w14:textId="0ED1BF51">
            <w:pPr>
              <w:rPr>
                <w:sz w:val="22"/>
                <w:szCs w:val="22"/>
              </w:rPr>
            </w:pPr>
          </w:p>
        </w:tc>
      </w:tr>
    </w:tbl>
    <w:p w:rsidRPr="00BE2394" w:rsidR="004F7D40" w:rsidP="2C4B6C16" w:rsidRDefault="0CB3E1FD" w14:paraId="26EE1E26" w14:textId="20ACA627">
      <w:pPr>
        <w:rPr>
          <w:b/>
          <w:bCs/>
        </w:rPr>
      </w:pPr>
      <w:r w:rsidRPr="2C4B6C16">
        <w:rPr>
          <w:b/>
          <w:bCs/>
        </w:rPr>
        <w:lastRenderedPageBreak/>
        <w:t>Units of Competency</w:t>
      </w:r>
      <w:r w:rsidRPr="2C4B6C16" w:rsidR="355F3D09">
        <w:rPr>
          <w:b/>
          <w:bCs/>
        </w:rPr>
        <w:t xml:space="preserve"> only</w:t>
      </w:r>
    </w:p>
    <w:tbl>
      <w:tblPr>
        <w:tblStyle w:val="TableGrid"/>
        <w:tblW w:w="0" w:type="auto"/>
        <w:tblLook w:val="04A0" w:firstRow="1" w:lastRow="0" w:firstColumn="1" w:lastColumn="0" w:noHBand="0" w:noVBand="1"/>
      </w:tblPr>
      <w:tblGrid>
        <w:gridCol w:w="7508"/>
        <w:gridCol w:w="1508"/>
      </w:tblGrid>
      <w:tr w:rsidR="005738DB" w:rsidTr="2C4B6C16" w14:paraId="74C3A3DF" w14:textId="77777777">
        <w:tc>
          <w:tcPr>
            <w:tcW w:w="7508" w:type="dxa"/>
          </w:tcPr>
          <w:p w:rsidRPr="005B48A6" w:rsidR="005738DB" w:rsidP="2C4B6C16" w:rsidRDefault="2B38ED9D" w14:paraId="7061D563" w14:textId="5AEEF8A5">
            <w:pPr>
              <w:rPr>
                <w:b/>
                <w:bCs/>
                <w:sz w:val="21"/>
                <w:szCs w:val="21"/>
              </w:rPr>
            </w:pPr>
            <w:r w:rsidRPr="2C4B6C16">
              <w:rPr>
                <w:b/>
                <w:bCs/>
                <w:sz w:val="21"/>
                <w:szCs w:val="21"/>
              </w:rPr>
              <w:t>Q</w:t>
            </w:r>
            <w:r w:rsidRPr="2C4B6C16" w:rsidR="0D32F656">
              <w:rPr>
                <w:b/>
                <w:bCs/>
                <w:sz w:val="21"/>
                <w:szCs w:val="21"/>
              </w:rPr>
              <w:t>6</w:t>
            </w:r>
            <w:r w:rsidRPr="2C4B6C16">
              <w:rPr>
                <w:b/>
                <w:bCs/>
                <w:sz w:val="21"/>
                <w:szCs w:val="21"/>
              </w:rPr>
              <w:t xml:space="preserve">. </w:t>
            </w:r>
            <w:r w:rsidRPr="2C4B6C16" w:rsidR="0D32F656">
              <w:rPr>
                <w:b/>
                <w:bCs/>
                <w:sz w:val="21"/>
                <w:szCs w:val="21"/>
              </w:rPr>
              <w:t xml:space="preserve">Has </w:t>
            </w:r>
            <w:r w:rsidRPr="2C4B6C16" w:rsidR="65FF5002">
              <w:rPr>
                <w:b/>
                <w:bCs/>
                <w:sz w:val="21"/>
                <w:szCs w:val="21"/>
              </w:rPr>
              <w:t>reasonable adjustment been considered during the development of training products to suit the needs of people with disabilities, including physical, intellectual, sensory and learning di</w:t>
            </w:r>
            <w:r w:rsidRPr="2C4B6C16" w:rsidR="761F13B1">
              <w:rPr>
                <w:b/>
                <w:bCs/>
                <w:sz w:val="21"/>
                <w:szCs w:val="21"/>
              </w:rPr>
              <w:t>fficulties</w:t>
            </w:r>
            <w:r w:rsidRPr="2C4B6C16" w:rsidR="65FF5002">
              <w:rPr>
                <w:b/>
                <w:bCs/>
                <w:sz w:val="21"/>
                <w:szCs w:val="21"/>
              </w:rPr>
              <w:t>?</w:t>
            </w:r>
            <w:r w:rsidRPr="2C4B6C16" w:rsidR="3E3FA59B">
              <w:rPr>
                <w:b/>
                <w:bCs/>
                <w:sz w:val="21"/>
                <w:szCs w:val="21"/>
              </w:rPr>
              <w:t xml:space="preserve"> </w:t>
            </w:r>
            <w:r w:rsidRPr="2C4B6C16" w:rsidR="0D32F656">
              <w:rPr>
                <w:b/>
                <w:bCs/>
                <w:sz w:val="21"/>
                <w:szCs w:val="21"/>
              </w:rPr>
              <w:t>How?</w:t>
            </w:r>
          </w:p>
        </w:tc>
        <w:tc>
          <w:tcPr>
            <w:tcW w:w="1508" w:type="dxa"/>
          </w:tcPr>
          <w:p w:rsidRPr="005B48A6" w:rsidR="005738DB" w:rsidRDefault="005738DB" w14:paraId="7444216F" w14:textId="5960953F">
            <w:pPr>
              <w:rPr>
                <w:sz w:val="21"/>
                <w:szCs w:val="21"/>
              </w:rPr>
            </w:pPr>
            <w:r w:rsidRPr="005B48A6">
              <w:rPr>
                <w:sz w:val="21"/>
                <w:szCs w:val="21"/>
              </w:rPr>
              <w:t xml:space="preserve">☐ </w:t>
            </w:r>
            <w:r w:rsidR="006B07FC">
              <w:rPr>
                <w:sz w:val="21"/>
                <w:szCs w:val="21"/>
              </w:rPr>
              <w:t xml:space="preserve">X </w:t>
            </w:r>
            <w:r w:rsidRPr="005B48A6">
              <w:rPr>
                <w:sz w:val="21"/>
                <w:szCs w:val="21"/>
              </w:rPr>
              <w:t>Yes ☐ No</w:t>
            </w:r>
          </w:p>
        </w:tc>
      </w:tr>
      <w:tr w:rsidR="00BE2394" w:rsidTr="2C4B6C16" w14:paraId="45781935" w14:textId="77777777">
        <w:tc>
          <w:tcPr>
            <w:tcW w:w="9016" w:type="dxa"/>
            <w:gridSpan w:val="2"/>
          </w:tcPr>
          <w:p w:rsidR="2C4B6C16" w:rsidP="2C4B6C16" w:rsidRDefault="2C4B6C16" w14:paraId="63F8AB25" w14:textId="3A942006">
            <w:pPr>
              <w:rPr>
                <w:rFonts w:ascii="Aptos" w:hAnsi="Aptos" w:eastAsia="Aptos"/>
                <w:sz w:val="22"/>
                <w:szCs w:val="22"/>
              </w:rPr>
            </w:pPr>
          </w:p>
          <w:p w:rsidR="00BE2394" w:rsidP="2C4B6C16" w:rsidRDefault="786800DA" w14:paraId="4FF19D31" w14:textId="087160FF">
            <w:pPr>
              <w:rPr>
                <w:rFonts w:ascii="Aptos" w:hAnsi="Aptos" w:eastAsia="Aptos"/>
                <w:sz w:val="22"/>
                <w:szCs w:val="22"/>
              </w:rPr>
            </w:pPr>
            <w:r w:rsidRPr="2C4B6C16">
              <w:rPr>
                <w:rFonts w:ascii="Aptos" w:hAnsi="Aptos" w:eastAsia="Aptos"/>
                <w:sz w:val="22"/>
                <w:szCs w:val="22"/>
              </w:rPr>
              <w:t xml:space="preserve">Yes, reasonable adjustment has been considered throughout the development of the training products to ensure they are accessible to individuals with a range of disabilities, including physical, intellectual, sensory, and learning difficulties. This has been achieved by applying inclusive design principles to the structure and content of the training products, using clear and plain language, and avoiding complex formatting that could hinder accessibility. </w:t>
            </w:r>
          </w:p>
          <w:p w:rsidR="00BE2394" w:rsidP="2C4B6C16" w:rsidRDefault="00BE2394" w14:paraId="4973EB8E" w14:textId="557F14FF">
            <w:pPr>
              <w:rPr>
                <w:rFonts w:ascii="Aptos" w:hAnsi="Aptos" w:eastAsia="Aptos"/>
                <w:sz w:val="22"/>
                <w:szCs w:val="22"/>
              </w:rPr>
            </w:pPr>
          </w:p>
          <w:p w:rsidR="00BE2394" w:rsidP="2C4B6C16" w:rsidRDefault="786800DA" w14:paraId="62D4189E" w14:textId="426E94C2">
            <w:pPr>
              <w:rPr>
                <w:rFonts w:ascii="Aptos" w:hAnsi="Aptos" w:eastAsia="Aptos"/>
                <w:sz w:val="22"/>
                <w:szCs w:val="22"/>
              </w:rPr>
            </w:pPr>
            <w:r w:rsidRPr="2C4B6C16">
              <w:rPr>
                <w:rFonts w:ascii="Aptos" w:hAnsi="Aptos" w:eastAsia="Aptos"/>
                <w:sz w:val="22"/>
                <w:szCs w:val="22"/>
              </w:rPr>
              <w:t>Flexibility has been embedded in the assessment requirements to allow adjustments in the method of assessment, without altering the intended learning outcomes. Additionally, guidance has been aligned with national standards and best practices to support trainers and assessors in implementing appropriate adjustments that meet individual learner</w:t>
            </w:r>
            <w:r w:rsidRPr="2C4B6C16" w:rsidR="30E96F6F">
              <w:rPr>
                <w:rFonts w:ascii="Aptos" w:hAnsi="Aptos" w:eastAsia="Aptos"/>
                <w:sz w:val="22"/>
                <w:szCs w:val="22"/>
              </w:rPr>
              <w:t>s.</w:t>
            </w:r>
          </w:p>
          <w:p w:rsidR="00BE2394" w:rsidP="2C4B6C16" w:rsidRDefault="00BE2394" w14:paraId="779C6268" w14:textId="41B46C36">
            <w:pPr>
              <w:rPr>
                <w:rFonts w:ascii="Aptos" w:hAnsi="Aptos" w:eastAsia="Aptos"/>
                <w:sz w:val="22"/>
                <w:szCs w:val="22"/>
              </w:rPr>
            </w:pPr>
          </w:p>
        </w:tc>
      </w:tr>
      <w:tr w:rsidR="00FA774F" w:rsidTr="2C4B6C16" w14:paraId="0CCA6A39" w14:textId="77777777">
        <w:tc>
          <w:tcPr>
            <w:tcW w:w="7508" w:type="dxa"/>
          </w:tcPr>
          <w:p w:rsidRPr="005B48A6" w:rsidR="00FA774F" w:rsidP="2C4B6C16" w:rsidRDefault="2B38ED9D" w14:paraId="49242FC8" w14:textId="59A816C5">
            <w:pPr>
              <w:rPr>
                <w:b/>
                <w:bCs/>
                <w:sz w:val="21"/>
                <w:szCs w:val="21"/>
              </w:rPr>
            </w:pPr>
            <w:r w:rsidRPr="2C4B6C16">
              <w:rPr>
                <w:b/>
                <w:bCs/>
                <w:sz w:val="21"/>
                <w:szCs w:val="21"/>
              </w:rPr>
              <w:t>Q</w:t>
            </w:r>
            <w:r w:rsidRPr="2C4B6C16" w:rsidR="0D32F656">
              <w:rPr>
                <w:b/>
                <w:bCs/>
                <w:sz w:val="21"/>
                <w:szCs w:val="21"/>
              </w:rPr>
              <w:t>7</w:t>
            </w:r>
            <w:r w:rsidRPr="2C4B6C16">
              <w:rPr>
                <w:b/>
                <w:bCs/>
                <w:sz w:val="21"/>
                <w:szCs w:val="21"/>
              </w:rPr>
              <w:t xml:space="preserve">. </w:t>
            </w:r>
            <w:r w:rsidRPr="2C4B6C16" w:rsidR="268A4C97">
              <w:rPr>
                <w:b/>
                <w:bCs/>
                <w:sz w:val="21"/>
                <w:szCs w:val="21"/>
              </w:rPr>
              <w:t>Have the Performance Criteria, Foundation Skills, and Performance Evidence been reviewed to ensure they are inclusive and free from discrimination based on any protected attribute</w:t>
            </w:r>
            <w:r w:rsidRPr="2C4B6C16" w:rsidR="49918D55">
              <w:rPr>
                <w:b/>
                <w:bCs/>
                <w:sz w:val="21"/>
                <w:szCs w:val="21"/>
              </w:rPr>
              <w:t>s*</w:t>
            </w:r>
            <w:r w:rsidRPr="2C4B6C16" w:rsidR="268A4C97">
              <w:rPr>
                <w:b/>
                <w:bCs/>
                <w:sz w:val="21"/>
                <w:szCs w:val="21"/>
              </w:rPr>
              <w:t xml:space="preserve"> (e.g., disability, age, gender, race, sexual orientation, etc.)?</w:t>
            </w:r>
            <w:r w:rsidRPr="2C4B6C16" w:rsidR="0D32F656">
              <w:rPr>
                <w:b/>
                <w:bCs/>
                <w:sz w:val="21"/>
                <w:szCs w:val="21"/>
              </w:rPr>
              <w:t xml:space="preserve"> How?</w:t>
            </w:r>
          </w:p>
        </w:tc>
        <w:tc>
          <w:tcPr>
            <w:tcW w:w="1508" w:type="dxa"/>
          </w:tcPr>
          <w:p w:rsidRPr="005B48A6" w:rsidR="00FA774F" w:rsidRDefault="761F13B1" w14:paraId="0C49F861" w14:textId="14600C0F">
            <w:pPr>
              <w:rPr>
                <w:sz w:val="21"/>
                <w:szCs w:val="21"/>
              </w:rPr>
            </w:pPr>
            <w:r w:rsidRPr="2C4B6C16">
              <w:rPr>
                <w:sz w:val="21"/>
                <w:szCs w:val="21"/>
              </w:rPr>
              <w:t>☐</w:t>
            </w:r>
            <w:r w:rsidRPr="2C4B6C16" w:rsidR="42EB4332">
              <w:rPr>
                <w:sz w:val="21"/>
                <w:szCs w:val="21"/>
              </w:rPr>
              <w:t>X</w:t>
            </w:r>
            <w:r w:rsidRPr="2C4B6C16">
              <w:rPr>
                <w:sz w:val="21"/>
                <w:szCs w:val="21"/>
              </w:rPr>
              <w:t xml:space="preserve"> Yes ☐ No</w:t>
            </w:r>
          </w:p>
        </w:tc>
      </w:tr>
      <w:tr w:rsidR="00BE2394" w:rsidTr="2C4B6C16" w14:paraId="00E9C893" w14:textId="77777777">
        <w:tc>
          <w:tcPr>
            <w:tcW w:w="9016" w:type="dxa"/>
            <w:gridSpan w:val="2"/>
          </w:tcPr>
          <w:p w:rsidR="00BE2394" w:rsidRDefault="00BE2394" w14:paraId="6029DCE7" w14:textId="77777777"/>
          <w:p w:rsidR="00BE2394" w:rsidP="2C4B6C16" w:rsidRDefault="62E2980D" w14:paraId="582FFC23" w14:textId="1F8372CF">
            <w:pPr>
              <w:rPr>
                <w:rFonts w:ascii="Aptos" w:hAnsi="Aptos" w:eastAsia="Aptos"/>
                <w:sz w:val="22"/>
                <w:szCs w:val="22"/>
              </w:rPr>
            </w:pPr>
            <w:r w:rsidRPr="2C4B6C16">
              <w:rPr>
                <w:rFonts w:ascii="Aptos" w:hAnsi="Aptos" w:eastAsia="Aptos"/>
                <w:sz w:val="22"/>
                <w:szCs w:val="22"/>
              </w:rPr>
              <w:t>Yes, the Performance Criteria, Foundation Skills, and Performance Evidence have been carefully reviewed to ensure they are inclusive and free from discrimination based on protected attributes such as disability, age, gender, race, sexual orientation, and others. This review involved assessing the language used to confirm it is neutral, respectful, and appropriate for diverse learners. The content was examined to ensure it does not assume specific physical abilities, cultural backgrounds, or personal characteristics, and that it allows for a variety of ways to demonstrate competence. Where relevant, inclusive terminology and examples were incorporated, and flexibility was considered in how skills can be demonstrated, supporting equitable access for all learners.</w:t>
            </w:r>
          </w:p>
          <w:p w:rsidR="00BE2394" w:rsidP="2C4B6C16" w:rsidRDefault="00BE2394" w14:paraId="024A8C02" w14:textId="2087ED5B">
            <w:pPr>
              <w:rPr>
                <w:rFonts w:ascii="Aptos" w:hAnsi="Aptos" w:eastAsia="Aptos"/>
                <w:sz w:val="22"/>
                <w:szCs w:val="22"/>
              </w:rPr>
            </w:pPr>
          </w:p>
        </w:tc>
      </w:tr>
      <w:tr w:rsidR="005738DB" w:rsidTr="2C4B6C16" w14:paraId="25CD34E5" w14:textId="77777777">
        <w:tc>
          <w:tcPr>
            <w:tcW w:w="7508" w:type="dxa"/>
          </w:tcPr>
          <w:p w:rsidRPr="005B48A6" w:rsidR="005738DB" w:rsidP="2C4B6C16" w:rsidRDefault="2B38ED9D" w14:paraId="147BCEB9" w14:textId="6D2DE978">
            <w:pPr>
              <w:rPr>
                <w:b/>
                <w:bCs/>
                <w:sz w:val="21"/>
                <w:szCs w:val="21"/>
              </w:rPr>
            </w:pPr>
            <w:r w:rsidRPr="2C4B6C16">
              <w:rPr>
                <w:b/>
                <w:bCs/>
                <w:sz w:val="21"/>
                <w:szCs w:val="21"/>
              </w:rPr>
              <w:t>Q</w:t>
            </w:r>
            <w:r w:rsidRPr="2C4B6C16" w:rsidR="0D32F656">
              <w:rPr>
                <w:b/>
                <w:bCs/>
                <w:sz w:val="21"/>
                <w:szCs w:val="21"/>
              </w:rPr>
              <w:t>8</w:t>
            </w:r>
            <w:r w:rsidRPr="2C4B6C16">
              <w:rPr>
                <w:b/>
                <w:bCs/>
                <w:sz w:val="21"/>
                <w:szCs w:val="21"/>
              </w:rPr>
              <w:t xml:space="preserve">. </w:t>
            </w:r>
            <w:r w:rsidRPr="2C4B6C16" w:rsidR="761F13B1">
              <w:rPr>
                <w:b/>
                <w:bCs/>
                <w:sz w:val="21"/>
                <w:szCs w:val="21"/>
              </w:rPr>
              <w:t xml:space="preserve">Does the product ensure that assessment conditions are flexible enough to accommodate </w:t>
            </w:r>
            <w:r w:rsidRPr="2C4B6C16" w:rsidR="23D9FEB3">
              <w:rPr>
                <w:b/>
                <w:bCs/>
                <w:sz w:val="21"/>
                <w:szCs w:val="21"/>
              </w:rPr>
              <w:t xml:space="preserve">access to </w:t>
            </w:r>
            <w:r w:rsidRPr="2C4B6C16" w:rsidR="761F13B1">
              <w:rPr>
                <w:b/>
                <w:bCs/>
                <w:sz w:val="21"/>
                <w:szCs w:val="21"/>
              </w:rPr>
              <w:t>learners with</w:t>
            </w:r>
            <w:r w:rsidRPr="2C4B6C16" w:rsidR="52E37398">
              <w:rPr>
                <w:b/>
                <w:bCs/>
                <w:sz w:val="21"/>
                <w:szCs w:val="21"/>
              </w:rPr>
              <w:t xml:space="preserve"> protected attribute</w:t>
            </w:r>
            <w:r w:rsidRPr="2C4B6C16" w:rsidR="49918D55">
              <w:rPr>
                <w:b/>
                <w:bCs/>
                <w:sz w:val="21"/>
                <w:szCs w:val="21"/>
              </w:rPr>
              <w:t>s*</w:t>
            </w:r>
            <w:r w:rsidRPr="2C4B6C16" w:rsidR="52E37398">
              <w:rPr>
                <w:b/>
                <w:bCs/>
                <w:sz w:val="21"/>
                <w:szCs w:val="21"/>
              </w:rPr>
              <w:t xml:space="preserve"> (e.g. </w:t>
            </w:r>
            <w:r w:rsidRPr="2C4B6C16" w:rsidR="761F13B1">
              <w:rPr>
                <w:b/>
                <w:bCs/>
                <w:sz w:val="21"/>
                <w:szCs w:val="21"/>
              </w:rPr>
              <w:t xml:space="preserve"> including </w:t>
            </w:r>
            <w:r w:rsidRPr="2C4B6C16" w:rsidR="52E37398">
              <w:rPr>
                <w:b/>
                <w:bCs/>
                <w:sz w:val="21"/>
                <w:szCs w:val="21"/>
              </w:rPr>
              <w:t xml:space="preserve">disability, age, gender, race, sexual orientation, etc.) including </w:t>
            </w:r>
            <w:r w:rsidRPr="2C4B6C16" w:rsidR="761F13B1">
              <w:rPr>
                <w:b/>
                <w:bCs/>
                <w:sz w:val="21"/>
                <w:szCs w:val="21"/>
              </w:rPr>
              <w:t xml:space="preserve">adjustments </w:t>
            </w:r>
            <w:r w:rsidRPr="2C4B6C16" w:rsidR="30C18573">
              <w:rPr>
                <w:b/>
                <w:bCs/>
                <w:sz w:val="21"/>
                <w:szCs w:val="21"/>
              </w:rPr>
              <w:t xml:space="preserve">can be made to </w:t>
            </w:r>
            <w:r w:rsidRPr="2C4B6C16" w:rsidR="761F13B1">
              <w:rPr>
                <w:b/>
                <w:bCs/>
                <w:sz w:val="21"/>
                <w:szCs w:val="21"/>
              </w:rPr>
              <w:t>location, timing, or format?</w:t>
            </w:r>
            <w:r w:rsidRPr="2C4B6C16" w:rsidR="2F2C549B">
              <w:rPr>
                <w:b/>
                <w:bCs/>
                <w:sz w:val="21"/>
                <w:szCs w:val="21"/>
              </w:rPr>
              <w:t xml:space="preserve"> </w:t>
            </w:r>
            <w:r w:rsidRPr="2C4B6C16" w:rsidR="0D32F656">
              <w:rPr>
                <w:b/>
                <w:bCs/>
                <w:sz w:val="21"/>
                <w:szCs w:val="21"/>
              </w:rPr>
              <w:t>How?</w:t>
            </w:r>
          </w:p>
        </w:tc>
        <w:tc>
          <w:tcPr>
            <w:tcW w:w="1508" w:type="dxa"/>
          </w:tcPr>
          <w:p w:rsidRPr="005B48A6" w:rsidR="005738DB" w:rsidRDefault="65FF5002" w14:paraId="6CB6399D" w14:textId="2FF7760F">
            <w:pPr>
              <w:rPr>
                <w:sz w:val="21"/>
                <w:szCs w:val="21"/>
              </w:rPr>
            </w:pPr>
            <w:r w:rsidRPr="2C4B6C16">
              <w:rPr>
                <w:sz w:val="21"/>
                <w:szCs w:val="21"/>
              </w:rPr>
              <w:t xml:space="preserve">☐ </w:t>
            </w:r>
            <w:r w:rsidRPr="2C4B6C16" w:rsidR="148BC5FA">
              <w:rPr>
                <w:sz w:val="21"/>
                <w:szCs w:val="21"/>
              </w:rPr>
              <w:t xml:space="preserve">x </w:t>
            </w:r>
            <w:r w:rsidRPr="2C4B6C16">
              <w:rPr>
                <w:sz w:val="21"/>
                <w:szCs w:val="21"/>
              </w:rPr>
              <w:t>Yes ☐ No</w:t>
            </w:r>
          </w:p>
        </w:tc>
      </w:tr>
      <w:tr w:rsidR="00BE2394" w:rsidTr="2C4B6C16" w14:paraId="528D9FE3" w14:textId="77777777">
        <w:tc>
          <w:tcPr>
            <w:tcW w:w="9016" w:type="dxa"/>
            <w:gridSpan w:val="2"/>
          </w:tcPr>
          <w:p w:rsidR="00BE2394" w:rsidP="2C4B6C16" w:rsidRDefault="00BE2394" w14:paraId="46FE0987" w14:textId="77777777">
            <w:pPr>
              <w:rPr>
                <w:i/>
                <w:iCs/>
                <w:color w:val="BFBFBF" w:themeColor="background1" w:themeShade="BF"/>
                <w:sz w:val="18"/>
                <w:szCs w:val="18"/>
              </w:rPr>
            </w:pPr>
          </w:p>
          <w:p w:rsidR="4D0B23A2" w:rsidP="2C4B6C16" w:rsidRDefault="4D0B23A2" w14:paraId="1DA86E15" w14:textId="257E5A03">
            <w:pPr>
              <w:rPr>
                <w:sz w:val="22"/>
                <w:szCs w:val="22"/>
              </w:rPr>
            </w:pPr>
            <w:r w:rsidRPr="2C4B6C16">
              <w:rPr>
                <w:sz w:val="22"/>
                <w:szCs w:val="22"/>
              </w:rPr>
              <w:t xml:space="preserve">Yes, the product ensures that assessment conditions are flexible enough to accommodate learners with protected attributes. </w:t>
            </w:r>
            <w:r w:rsidRPr="2C4B6C16" w:rsidR="4EB62B01">
              <w:rPr>
                <w:sz w:val="22"/>
                <w:szCs w:val="22"/>
              </w:rPr>
              <w:t xml:space="preserve">This flexibility is built into the design by allowing adjustments to the location, timing and format of assessments to meet individual needs. </w:t>
            </w:r>
            <w:r w:rsidRPr="2C4B6C16" w:rsidR="18C54C0E">
              <w:rPr>
                <w:sz w:val="22"/>
                <w:szCs w:val="22"/>
              </w:rPr>
              <w:t>For</w:t>
            </w:r>
            <w:r w:rsidRPr="2C4B6C16" w:rsidR="4EB62B01">
              <w:rPr>
                <w:sz w:val="22"/>
                <w:szCs w:val="22"/>
              </w:rPr>
              <w:t xml:space="preserve"> example, assessments can be conduct</w:t>
            </w:r>
            <w:r w:rsidRPr="2C4B6C16" w:rsidR="1DFF9934">
              <w:rPr>
                <w:sz w:val="22"/>
                <w:szCs w:val="22"/>
              </w:rPr>
              <w:t xml:space="preserve">ed in accessible venues, offered at different times to suit learner’s schedules or delivered through alternative methods such as online or practical demonstrations. </w:t>
            </w:r>
            <w:r w:rsidRPr="2C4B6C16" w:rsidR="5E091D81">
              <w:rPr>
                <w:sz w:val="22"/>
                <w:szCs w:val="22"/>
              </w:rPr>
              <w:t>These provisions help create an inclusive assessment environment that respects diversity and removed barriers to participation while maintaining the integrity of the competency standards.</w:t>
            </w:r>
          </w:p>
          <w:p w:rsidRPr="008342EE" w:rsidR="00BE2394" w:rsidP="2C4B6C16" w:rsidRDefault="00BE2394" w14:paraId="62B1E8D6" w14:textId="5155CB41">
            <w:pPr>
              <w:rPr>
                <w:i/>
                <w:iCs/>
                <w:color w:val="BFBFBF" w:themeColor="background1" w:themeShade="BF"/>
                <w:sz w:val="18"/>
                <w:szCs w:val="18"/>
              </w:rPr>
            </w:pPr>
          </w:p>
          <w:p w:rsidR="00BE2394" w:rsidRDefault="00BE2394" w14:paraId="67F8E59D" w14:textId="77777777"/>
        </w:tc>
      </w:tr>
    </w:tbl>
    <w:p w:rsidRPr="007D6857" w:rsidR="00FA774F" w:rsidP="005738DB" w:rsidRDefault="00FB1097" w14:paraId="6B385075" w14:textId="1B4C7064">
      <w:pPr>
        <w:rPr>
          <w:sz w:val="21"/>
          <w:szCs w:val="21"/>
        </w:rPr>
      </w:pPr>
      <w:r w:rsidRPr="007D6857">
        <w:rPr>
          <w:sz w:val="21"/>
          <w:szCs w:val="21"/>
        </w:rPr>
        <w:lastRenderedPageBreak/>
        <w:t>*Protected attributes broadly cover discrimination including race, colour, sex, sexual orientation, gender identity, relationship status, religion, age and disability (physical, intellectual, psychiatric, sensory, neurological or learning disability).</w:t>
      </w:r>
    </w:p>
    <w:p w:rsidRPr="007D6857" w:rsidR="00FE292D" w:rsidP="005738DB" w:rsidRDefault="00FE292D" w14:paraId="1D3C8699" w14:textId="47030797">
      <w:pPr>
        <w:rPr>
          <w:b/>
          <w:bCs/>
        </w:rPr>
      </w:pPr>
      <w:r w:rsidRPr="007D6857">
        <w:rPr>
          <w:b/>
          <w:bCs/>
        </w:rPr>
        <w:t>Declaration</w:t>
      </w:r>
    </w:p>
    <w:p w:rsidRPr="007D6857" w:rsidR="00FE292D" w:rsidP="005738DB" w:rsidRDefault="00FE292D" w14:paraId="73085FF1" w14:textId="3C54BA64">
      <w:pPr>
        <w:rPr>
          <w:sz w:val="21"/>
          <w:szCs w:val="21"/>
        </w:rPr>
      </w:pPr>
      <w:r w:rsidRPr="007D6857">
        <w:rPr>
          <w:sz w:val="21"/>
          <w:szCs w:val="21"/>
        </w:rPr>
        <w:t xml:space="preserve">This Anti-discrimination assessment was completed by: </w:t>
      </w:r>
    </w:p>
    <w:p w:rsidRPr="007D6857" w:rsidR="008726DD" w:rsidP="005738DB" w:rsidRDefault="008726DD" w14:paraId="2F237814" w14:textId="4C7E6924">
      <w:pPr>
        <w:rPr>
          <w:b/>
          <w:bCs/>
          <w:sz w:val="21"/>
          <w:szCs w:val="21"/>
        </w:rPr>
      </w:pPr>
      <w:r w:rsidRPr="007D6857">
        <w:rPr>
          <w:b/>
          <w:bCs/>
          <w:sz w:val="21"/>
          <w:szCs w:val="21"/>
        </w:rPr>
        <w:t>Project Manager</w:t>
      </w:r>
    </w:p>
    <w:tbl>
      <w:tblPr>
        <w:tblStyle w:val="TableGrid"/>
        <w:tblW w:w="0" w:type="auto"/>
        <w:tblLook w:val="04A0" w:firstRow="1" w:lastRow="0" w:firstColumn="1" w:lastColumn="0" w:noHBand="0" w:noVBand="1"/>
      </w:tblPr>
      <w:tblGrid>
        <w:gridCol w:w="1604"/>
        <w:gridCol w:w="7412"/>
      </w:tblGrid>
      <w:tr w:rsidRPr="007D6857" w:rsidR="00FE292D" w:rsidTr="2C4B6C16" w14:paraId="06FDD7A4" w14:textId="77777777">
        <w:tc>
          <w:tcPr>
            <w:tcW w:w="1176" w:type="dxa"/>
          </w:tcPr>
          <w:p w:rsidRPr="007D6857" w:rsidR="00FE292D" w:rsidP="005738DB" w:rsidRDefault="00FE292D" w14:paraId="15A08837" w14:textId="07B4D766">
            <w:pPr>
              <w:rPr>
                <w:b/>
                <w:bCs/>
                <w:sz w:val="21"/>
                <w:szCs w:val="21"/>
              </w:rPr>
            </w:pPr>
            <w:r w:rsidRPr="007D6857">
              <w:rPr>
                <w:b/>
                <w:bCs/>
                <w:sz w:val="21"/>
                <w:szCs w:val="21"/>
              </w:rPr>
              <w:t>Name:</w:t>
            </w:r>
          </w:p>
        </w:tc>
        <w:tc>
          <w:tcPr>
            <w:tcW w:w="7840" w:type="dxa"/>
          </w:tcPr>
          <w:p w:rsidRPr="007D6857" w:rsidR="00FE292D" w:rsidP="005738DB" w:rsidRDefault="00A52473" w14:paraId="4A966718" w14:textId="41EE3111">
            <w:pPr>
              <w:rPr>
                <w:b/>
                <w:bCs/>
                <w:sz w:val="21"/>
                <w:szCs w:val="21"/>
              </w:rPr>
            </w:pPr>
            <w:r>
              <w:rPr>
                <w:b/>
                <w:bCs/>
                <w:sz w:val="21"/>
                <w:szCs w:val="21"/>
              </w:rPr>
              <w:t>Lee Wheeler</w:t>
            </w:r>
          </w:p>
        </w:tc>
      </w:tr>
      <w:tr w:rsidRPr="007D6857" w:rsidR="00EA43DC" w:rsidTr="2C4B6C16" w14:paraId="132D383E" w14:textId="77777777">
        <w:tc>
          <w:tcPr>
            <w:tcW w:w="1176" w:type="dxa"/>
          </w:tcPr>
          <w:p w:rsidRPr="007D6857" w:rsidR="00EA43DC" w:rsidP="00EA43DC" w:rsidRDefault="00EA43DC" w14:paraId="35456C89" w14:textId="018CB98E">
            <w:pPr>
              <w:rPr>
                <w:b/>
                <w:bCs/>
                <w:sz w:val="21"/>
                <w:szCs w:val="21"/>
              </w:rPr>
            </w:pPr>
            <w:r>
              <w:rPr>
                <w:b/>
                <w:bCs/>
                <w:sz w:val="21"/>
                <w:szCs w:val="21"/>
              </w:rPr>
              <w:t>Anti-discrimination Skills and Experience</w:t>
            </w:r>
          </w:p>
        </w:tc>
        <w:tc>
          <w:tcPr>
            <w:tcW w:w="7840" w:type="dxa"/>
          </w:tcPr>
          <w:p w:rsidRPr="2C4B6C16" w:rsidR="00EA43DC" w:rsidP="00EA43DC" w:rsidRDefault="00EA43DC" w14:paraId="43619F68" w14:textId="17B5B540">
            <w:pPr>
              <w:rPr>
                <w:b/>
                <w:bCs/>
                <w:sz w:val="21"/>
                <w:szCs w:val="21"/>
              </w:rPr>
            </w:pPr>
            <w:r w:rsidRPr="00C50C43">
              <w:rPr>
                <w:sz w:val="21"/>
                <w:szCs w:val="21"/>
              </w:rPr>
              <w:t xml:space="preserve">Holds a </w:t>
            </w:r>
            <w:r>
              <w:rPr>
                <w:sz w:val="21"/>
                <w:szCs w:val="21"/>
              </w:rPr>
              <w:t xml:space="preserve">Diploma of Mental Health, </w:t>
            </w:r>
            <w:r w:rsidRPr="00C50C43">
              <w:rPr>
                <w:sz w:val="21"/>
                <w:szCs w:val="21"/>
              </w:rPr>
              <w:t>Advanced Diploma of Community Sector Management and associate degree in VET</w:t>
            </w:r>
            <w:r>
              <w:rPr>
                <w:sz w:val="21"/>
                <w:szCs w:val="21"/>
              </w:rPr>
              <w:t xml:space="preserve">. Delivered training and assessment units of competencies in CHCDIV001 Work with diverse people &amp; CHDIV002 Promote Aboriginal and Torres Strait Islander cultural safety to various cohorts. Has participated in professional development training including, Indigenous cultural awareness training (June 2025), teaching students with a CALD background training (Sept 2025), disability and inclusive environments training (Feb 2024) and in house ADA training </w:t>
            </w:r>
            <w:r w:rsidR="009C67A2">
              <w:rPr>
                <w:sz w:val="21"/>
                <w:szCs w:val="21"/>
              </w:rPr>
              <w:t>developed by HumanAbility</w:t>
            </w:r>
            <w:r w:rsidR="00282D90">
              <w:rPr>
                <w:sz w:val="21"/>
                <w:szCs w:val="21"/>
              </w:rPr>
              <w:t xml:space="preserve"> </w:t>
            </w:r>
            <w:r>
              <w:rPr>
                <w:sz w:val="21"/>
                <w:szCs w:val="21"/>
              </w:rPr>
              <w:t xml:space="preserve">(May 2026). </w:t>
            </w:r>
          </w:p>
        </w:tc>
      </w:tr>
      <w:tr w:rsidRPr="007D6857" w:rsidR="00FE292D" w:rsidTr="2C4B6C16" w14:paraId="1A8A8761" w14:textId="77777777">
        <w:tc>
          <w:tcPr>
            <w:tcW w:w="1176" w:type="dxa"/>
          </w:tcPr>
          <w:p w:rsidRPr="007D6857" w:rsidR="00FE292D" w:rsidP="005738DB" w:rsidRDefault="00FE292D" w14:paraId="534672D6" w14:textId="6208D3DE">
            <w:pPr>
              <w:rPr>
                <w:b/>
                <w:bCs/>
                <w:sz w:val="21"/>
                <w:szCs w:val="21"/>
              </w:rPr>
            </w:pPr>
            <w:r w:rsidRPr="007D6857">
              <w:rPr>
                <w:b/>
                <w:bCs/>
                <w:sz w:val="21"/>
                <w:szCs w:val="21"/>
              </w:rPr>
              <w:t>Date:</w:t>
            </w:r>
          </w:p>
        </w:tc>
        <w:tc>
          <w:tcPr>
            <w:tcW w:w="7840" w:type="dxa"/>
          </w:tcPr>
          <w:p w:rsidRPr="007D6857" w:rsidR="00FE292D" w:rsidP="005738DB" w:rsidRDefault="6D69DDC5" w14:paraId="50B067CA" w14:textId="2D1A4613">
            <w:pPr>
              <w:rPr>
                <w:b/>
                <w:bCs/>
                <w:sz w:val="21"/>
                <w:szCs w:val="21"/>
              </w:rPr>
            </w:pPr>
            <w:r w:rsidRPr="2C4B6C16">
              <w:rPr>
                <w:b/>
                <w:bCs/>
                <w:sz w:val="21"/>
                <w:szCs w:val="21"/>
              </w:rPr>
              <w:t>06/06/2025</w:t>
            </w:r>
          </w:p>
        </w:tc>
      </w:tr>
    </w:tbl>
    <w:p w:rsidRPr="007D6857" w:rsidR="00FE292D" w:rsidP="005738DB" w:rsidRDefault="00FE292D" w14:paraId="78995F34" w14:textId="77777777">
      <w:pPr>
        <w:rPr>
          <w:b/>
          <w:bCs/>
          <w:sz w:val="21"/>
          <w:szCs w:val="21"/>
        </w:rPr>
      </w:pPr>
    </w:p>
    <w:p w:rsidRPr="007D6857" w:rsidR="008726DD" w:rsidP="005738DB" w:rsidRDefault="008726DD" w14:paraId="6206064E" w14:textId="11333BF1">
      <w:pPr>
        <w:rPr>
          <w:b/>
          <w:bCs/>
          <w:sz w:val="21"/>
          <w:szCs w:val="21"/>
        </w:rPr>
      </w:pPr>
      <w:r w:rsidRPr="007D6857">
        <w:rPr>
          <w:b/>
          <w:bCs/>
          <w:sz w:val="21"/>
          <w:szCs w:val="21"/>
        </w:rPr>
        <w:t>Technical Writer/s</w:t>
      </w:r>
    </w:p>
    <w:tbl>
      <w:tblPr>
        <w:tblStyle w:val="TableGrid"/>
        <w:tblW w:w="0" w:type="auto"/>
        <w:tblLook w:val="04A0" w:firstRow="1" w:lastRow="0" w:firstColumn="1" w:lastColumn="0" w:noHBand="0" w:noVBand="1"/>
      </w:tblPr>
      <w:tblGrid>
        <w:gridCol w:w="1604"/>
        <w:gridCol w:w="7412"/>
      </w:tblGrid>
      <w:tr w:rsidRPr="007D6857" w:rsidR="008726DD" w:rsidTr="10107479" w14:paraId="68CA5E9A" w14:textId="77777777">
        <w:tc>
          <w:tcPr>
            <w:tcW w:w="1176" w:type="dxa"/>
            <w:tcMar/>
          </w:tcPr>
          <w:p w:rsidRPr="007D6857" w:rsidR="008726DD" w:rsidP="00911C6B" w:rsidRDefault="008726DD" w14:paraId="07863345" w14:textId="77777777">
            <w:pPr>
              <w:rPr>
                <w:b/>
                <w:bCs/>
                <w:sz w:val="21"/>
                <w:szCs w:val="21"/>
              </w:rPr>
            </w:pPr>
            <w:r w:rsidRPr="007D6857">
              <w:rPr>
                <w:b/>
                <w:bCs/>
                <w:sz w:val="21"/>
                <w:szCs w:val="21"/>
              </w:rPr>
              <w:t>Name:</w:t>
            </w:r>
          </w:p>
        </w:tc>
        <w:tc>
          <w:tcPr>
            <w:tcW w:w="7840" w:type="dxa"/>
            <w:tcMar/>
          </w:tcPr>
          <w:p w:rsidRPr="007D6857" w:rsidR="008726DD" w:rsidP="00911C6B" w:rsidRDefault="00A52473" w14:paraId="42699D75" w14:textId="1D26B334">
            <w:pPr>
              <w:rPr>
                <w:b/>
                <w:bCs/>
                <w:sz w:val="21"/>
                <w:szCs w:val="21"/>
              </w:rPr>
            </w:pPr>
            <w:r>
              <w:rPr>
                <w:b/>
                <w:bCs/>
                <w:sz w:val="21"/>
                <w:szCs w:val="21"/>
              </w:rPr>
              <w:t>Sandra Wesselink</w:t>
            </w:r>
          </w:p>
        </w:tc>
      </w:tr>
      <w:tr w:rsidRPr="007D6857" w:rsidR="00BC472B" w:rsidTr="10107479" w14:paraId="4C6B100F" w14:textId="77777777">
        <w:tc>
          <w:tcPr>
            <w:tcW w:w="1176" w:type="dxa"/>
            <w:tcMar/>
          </w:tcPr>
          <w:p w:rsidRPr="007D6857" w:rsidR="00BC472B" w:rsidP="00911C6B" w:rsidRDefault="004F7C24" w14:paraId="2A03EFEA" w14:textId="1CE84799">
            <w:pPr>
              <w:rPr>
                <w:b/>
                <w:bCs/>
                <w:sz w:val="21"/>
                <w:szCs w:val="21"/>
              </w:rPr>
            </w:pPr>
            <w:r>
              <w:rPr>
                <w:b/>
                <w:bCs/>
                <w:sz w:val="21"/>
                <w:szCs w:val="21"/>
              </w:rPr>
              <w:t>Anti-discrimination Skills and Experience</w:t>
            </w:r>
          </w:p>
        </w:tc>
        <w:tc>
          <w:tcPr>
            <w:tcW w:w="7840" w:type="dxa"/>
            <w:tcMar/>
          </w:tcPr>
          <w:p w:rsidR="00BC472B" w:rsidP="53504A99" w:rsidRDefault="24F9B10F" w14:paraId="6C6C16F9" w14:textId="77777777">
            <w:pPr>
              <w:rPr>
                <w:sz w:val="21"/>
                <w:szCs w:val="21"/>
              </w:rPr>
            </w:pPr>
            <w:r w:rsidRPr="53504A99">
              <w:rPr>
                <w:sz w:val="21"/>
                <w:szCs w:val="21"/>
              </w:rPr>
              <w:t>Hold a Diploma of Training and Assessment and Diploma of Veterinary Nursing</w:t>
            </w:r>
            <w:r w:rsidRPr="53504A99" w:rsidR="54625E77">
              <w:rPr>
                <w:sz w:val="21"/>
                <w:szCs w:val="21"/>
              </w:rPr>
              <w:t xml:space="preserve">. Have been a trainer and assessor in VET for 25 years. Have </w:t>
            </w:r>
            <w:r w:rsidRPr="53504A99" w:rsidR="7E3ACF81">
              <w:rPr>
                <w:sz w:val="21"/>
                <w:szCs w:val="21"/>
              </w:rPr>
              <w:t xml:space="preserve">designed assessments and resources </w:t>
            </w:r>
            <w:r w:rsidRPr="53504A99" w:rsidR="0026C2CB">
              <w:rPr>
                <w:sz w:val="21"/>
                <w:szCs w:val="21"/>
              </w:rPr>
              <w:t xml:space="preserve">for </w:t>
            </w:r>
            <w:r w:rsidRPr="53504A99" w:rsidR="54625E77">
              <w:rPr>
                <w:sz w:val="21"/>
                <w:szCs w:val="21"/>
              </w:rPr>
              <w:t>units of competency ACMGAS308</w:t>
            </w:r>
            <w:r w:rsidRPr="53504A99" w:rsidR="7CD8A192">
              <w:rPr>
                <w:sz w:val="21"/>
                <w:szCs w:val="21"/>
              </w:rPr>
              <w:t xml:space="preserve"> Communicate effectively with clients and team members and ACMGEN315 Communicate effectively w</w:t>
            </w:r>
            <w:r w:rsidRPr="53504A99" w:rsidR="487D96FF">
              <w:rPr>
                <w:sz w:val="21"/>
                <w:szCs w:val="21"/>
              </w:rPr>
              <w:t xml:space="preserve">ith clients and team members.  Have completed </w:t>
            </w:r>
            <w:r w:rsidRPr="53504A99" w:rsidR="6CC22AC5">
              <w:rPr>
                <w:sz w:val="21"/>
                <w:szCs w:val="21"/>
              </w:rPr>
              <w:t xml:space="preserve">“diversity, inclusion and belonging” </w:t>
            </w:r>
            <w:r w:rsidRPr="53504A99" w:rsidR="19DF7FC8">
              <w:rPr>
                <w:sz w:val="21"/>
                <w:szCs w:val="21"/>
              </w:rPr>
              <w:t xml:space="preserve">and code of conduct training </w:t>
            </w:r>
            <w:r w:rsidRPr="53504A99" w:rsidR="6CC22AC5">
              <w:rPr>
                <w:sz w:val="21"/>
                <w:szCs w:val="21"/>
              </w:rPr>
              <w:t>annually</w:t>
            </w:r>
            <w:r w:rsidRPr="53504A99" w:rsidR="62D0DB07">
              <w:rPr>
                <w:sz w:val="21"/>
                <w:szCs w:val="21"/>
              </w:rPr>
              <w:t xml:space="preserve"> </w:t>
            </w:r>
            <w:r w:rsidRPr="53504A99" w:rsidR="6CC22AC5">
              <w:rPr>
                <w:sz w:val="21"/>
                <w:szCs w:val="21"/>
              </w:rPr>
              <w:t xml:space="preserve">in VET education as part of RTO mandatory training 2000 </w:t>
            </w:r>
            <w:r w:rsidRPr="53504A99" w:rsidR="393F53DD">
              <w:rPr>
                <w:sz w:val="21"/>
                <w:szCs w:val="21"/>
              </w:rPr>
              <w:t>to 2025.</w:t>
            </w:r>
          </w:p>
          <w:p w:rsidRPr="009C67A2" w:rsidR="003F2CA9" w:rsidP="53504A99" w:rsidRDefault="00AE728A" w14:paraId="7417B441" w14:textId="2894F79B" w14:noSpellErr="1">
            <w:pPr>
              <w:rPr>
                <w:sz w:val="20"/>
                <w:szCs w:val="20"/>
              </w:rPr>
            </w:pPr>
            <w:commentRangeStart w:id="0"/>
            <w:commentRangeStart w:id="950667511"/>
            <w:r w:rsidRPr="10107479" w:rsidR="00AE728A">
              <w:rPr>
                <w:sz w:val="21"/>
                <w:szCs w:val="21"/>
              </w:rPr>
              <w:t xml:space="preserve">Have participated in professional development </w:t>
            </w:r>
            <w:r w:rsidRPr="10107479" w:rsidR="009C67A2">
              <w:rPr>
                <w:sz w:val="21"/>
                <w:szCs w:val="21"/>
              </w:rPr>
              <w:t xml:space="preserve">training </w:t>
            </w:r>
            <w:r w:rsidRPr="10107479" w:rsidR="009C67A2">
              <w:rPr>
                <w:sz w:val="20"/>
                <w:szCs w:val="20"/>
              </w:rPr>
              <w:t xml:space="preserve">by VCOSS on ‘How to be Disability Inclusive’ in Feb. 2025; </w:t>
            </w:r>
            <w:r w:rsidRPr="10107479" w:rsidR="009C67A2">
              <w:rPr>
                <w:sz w:val="20"/>
                <w:szCs w:val="20"/>
              </w:rPr>
              <w:t>Completed an</w:t>
            </w:r>
            <w:r w:rsidRPr="10107479" w:rsidR="00AE728A">
              <w:rPr>
                <w:sz w:val="21"/>
                <w:szCs w:val="21"/>
              </w:rPr>
              <w:t xml:space="preserve"> </w:t>
            </w:r>
            <w:r w:rsidRPr="10107479" w:rsidR="00AE728A">
              <w:rPr>
                <w:sz w:val="21"/>
                <w:szCs w:val="21"/>
              </w:rPr>
              <w:t>in house</w:t>
            </w:r>
            <w:r w:rsidRPr="10107479" w:rsidR="00AE728A">
              <w:rPr>
                <w:sz w:val="21"/>
                <w:szCs w:val="21"/>
              </w:rPr>
              <w:t xml:space="preserve"> ADA training</w:t>
            </w:r>
            <w:r w:rsidRPr="10107479" w:rsidR="009C67A2">
              <w:rPr>
                <w:sz w:val="21"/>
                <w:szCs w:val="21"/>
              </w:rPr>
              <w:t xml:space="preserve"> developed by </w:t>
            </w:r>
            <w:r w:rsidRPr="10107479" w:rsidR="009C67A2">
              <w:rPr>
                <w:sz w:val="21"/>
                <w:szCs w:val="21"/>
              </w:rPr>
              <w:t>HumanAbility</w:t>
            </w:r>
            <w:r w:rsidRPr="10107479" w:rsidR="00AE728A">
              <w:rPr>
                <w:sz w:val="21"/>
                <w:szCs w:val="21"/>
              </w:rPr>
              <w:t xml:space="preserve"> (May 2026).</w:t>
            </w:r>
            <w:commentRangeEnd w:id="0"/>
            <w:r>
              <w:rPr>
                <w:rStyle w:val="CommentReference"/>
              </w:rPr>
              <w:commentReference w:id="0"/>
            </w:r>
            <w:commentRangeEnd w:id="950667511"/>
            <w:r>
              <w:rPr>
                <w:rStyle w:val="CommentReference"/>
              </w:rPr>
              <w:commentReference w:id="950667511"/>
            </w:r>
          </w:p>
        </w:tc>
      </w:tr>
      <w:tr w:rsidRPr="007D6857" w:rsidR="008726DD" w:rsidTr="10107479" w14:paraId="07C24975" w14:textId="77777777">
        <w:tc>
          <w:tcPr>
            <w:tcW w:w="1176" w:type="dxa"/>
            <w:tcMar/>
          </w:tcPr>
          <w:p w:rsidRPr="007D6857" w:rsidR="008726DD" w:rsidP="00911C6B" w:rsidRDefault="008726DD" w14:paraId="0EF754D1" w14:textId="77777777">
            <w:pPr>
              <w:rPr>
                <w:b/>
                <w:bCs/>
                <w:sz w:val="21"/>
                <w:szCs w:val="21"/>
              </w:rPr>
            </w:pPr>
            <w:r w:rsidRPr="007D6857">
              <w:rPr>
                <w:b/>
                <w:bCs/>
                <w:sz w:val="21"/>
                <w:szCs w:val="21"/>
              </w:rPr>
              <w:t>Date:</w:t>
            </w:r>
          </w:p>
        </w:tc>
        <w:tc>
          <w:tcPr>
            <w:tcW w:w="7840" w:type="dxa"/>
            <w:tcMar/>
          </w:tcPr>
          <w:p w:rsidRPr="007D6857" w:rsidR="008726DD" w:rsidP="00911C6B" w:rsidRDefault="5F86A86F" w14:paraId="417D8774" w14:textId="68E9885B">
            <w:pPr>
              <w:rPr>
                <w:b/>
                <w:bCs/>
                <w:sz w:val="21"/>
                <w:szCs w:val="21"/>
              </w:rPr>
            </w:pPr>
            <w:r w:rsidRPr="6F6B81FF">
              <w:rPr>
                <w:b/>
                <w:bCs/>
                <w:sz w:val="21"/>
                <w:szCs w:val="21"/>
              </w:rPr>
              <w:t>06/06/2025</w:t>
            </w:r>
          </w:p>
        </w:tc>
      </w:tr>
    </w:tbl>
    <w:p w:rsidRPr="007D6857" w:rsidR="008726DD" w:rsidRDefault="008726DD" w14:paraId="6F1E3D56" w14:textId="77777777">
      <w:pPr>
        <w:rPr>
          <w:b/>
          <w:bCs/>
          <w:sz w:val="21"/>
          <w:szCs w:val="21"/>
          <w:highlight w:val="yellow"/>
        </w:rPr>
      </w:pPr>
    </w:p>
    <w:p w:rsidRPr="007D6857" w:rsidR="008726DD" w:rsidRDefault="008726DD" w14:paraId="65D374B9" w14:textId="545A3AA6">
      <w:pPr>
        <w:rPr>
          <w:b/>
          <w:bCs/>
          <w:sz w:val="21"/>
          <w:szCs w:val="21"/>
        </w:rPr>
      </w:pPr>
      <w:r w:rsidRPr="007D6857">
        <w:rPr>
          <w:b/>
          <w:bCs/>
          <w:sz w:val="21"/>
          <w:szCs w:val="21"/>
        </w:rPr>
        <w:t>ADA Assessor</w:t>
      </w:r>
    </w:p>
    <w:p w:rsidRPr="007D6857" w:rsidR="003F2E85" w:rsidRDefault="003F2E85" w14:paraId="79A3C7A4" w14:textId="203D8D05">
      <w:pPr>
        <w:rPr>
          <w:sz w:val="21"/>
          <w:szCs w:val="21"/>
        </w:rPr>
      </w:pPr>
      <w:r w:rsidRPr="003F2E85">
        <w:rPr>
          <w:sz w:val="21"/>
          <w:szCs w:val="21"/>
        </w:rPr>
        <w:t>The assessor is satisfied by the information provided by the project manager and the products reviewed that the training products being submitted meet, as far as practicable, relevant anti-discrimination legislation, and that evidence of processes to address, (such as avenues to raise concerns is encouraged) is reasonable and adequate.</w:t>
      </w:r>
    </w:p>
    <w:tbl>
      <w:tblPr>
        <w:tblStyle w:val="TableGrid"/>
        <w:tblW w:w="0" w:type="auto"/>
        <w:tblLook w:val="04A0" w:firstRow="1" w:lastRow="0" w:firstColumn="1" w:lastColumn="0" w:noHBand="0" w:noVBand="1"/>
      </w:tblPr>
      <w:tblGrid>
        <w:gridCol w:w="1604"/>
        <w:gridCol w:w="7412"/>
      </w:tblGrid>
      <w:tr w:rsidRPr="007D6857" w:rsidR="008726DD" w:rsidTr="008726DD" w14:paraId="07237F3D" w14:textId="77777777">
        <w:tc>
          <w:tcPr>
            <w:tcW w:w="1176" w:type="dxa"/>
          </w:tcPr>
          <w:p w:rsidRPr="007D6857" w:rsidR="008726DD" w:rsidP="00911C6B" w:rsidRDefault="008726DD" w14:paraId="76240D31" w14:textId="77777777">
            <w:pPr>
              <w:rPr>
                <w:b/>
                <w:bCs/>
                <w:sz w:val="21"/>
                <w:szCs w:val="21"/>
              </w:rPr>
            </w:pPr>
            <w:r w:rsidRPr="007D6857">
              <w:rPr>
                <w:b/>
                <w:bCs/>
                <w:sz w:val="21"/>
                <w:szCs w:val="21"/>
              </w:rPr>
              <w:t>Name:</w:t>
            </w:r>
          </w:p>
        </w:tc>
        <w:tc>
          <w:tcPr>
            <w:tcW w:w="7840" w:type="dxa"/>
          </w:tcPr>
          <w:p w:rsidRPr="007D6857" w:rsidR="008726DD" w:rsidP="00911C6B" w:rsidRDefault="00BC472B" w14:paraId="601B01DE" w14:textId="58C26883">
            <w:pPr>
              <w:rPr>
                <w:b/>
                <w:bCs/>
                <w:sz w:val="21"/>
                <w:szCs w:val="21"/>
              </w:rPr>
            </w:pPr>
            <w:r>
              <w:rPr>
                <w:b/>
                <w:bCs/>
                <w:sz w:val="21"/>
                <w:szCs w:val="21"/>
              </w:rPr>
              <w:t>Cristina Ferrari</w:t>
            </w:r>
          </w:p>
        </w:tc>
      </w:tr>
      <w:tr w:rsidRPr="007D6857" w:rsidR="0042080B" w:rsidTr="008726DD" w14:paraId="7F50B66C" w14:textId="77777777">
        <w:tc>
          <w:tcPr>
            <w:tcW w:w="1176" w:type="dxa"/>
          </w:tcPr>
          <w:p w:rsidRPr="007D6857" w:rsidR="0042080B" w:rsidP="0042080B" w:rsidRDefault="0042080B" w14:paraId="2188C928" w14:textId="6F77FE3F">
            <w:pPr>
              <w:rPr>
                <w:b/>
                <w:bCs/>
                <w:sz w:val="21"/>
                <w:szCs w:val="21"/>
              </w:rPr>
            </w:pPr>
            <w:r>
              <w:rPr>
                <w:b/>
                <w:bCs/>
                <w:sz w:val="21"/>
                <w:szCs w:val="21"/>
              </w:rPr>
              <w:t>Anti-discrimination Skills and Experience</w:t>
            </w:r>
          </w:p>
        </w:tc>
        <w:tc>
          <w:tcPr>
            <w:tcW w:w="7840" w:type="dxa"/>
          </w:tcPr>
          <w:p w:rsidRPr="00CB5C2B" w:rsidR="0042080B" w:rsidP="0042080B" w:rsidRDefault="0042080B" w14:paraId="69619CA3" w14:textId="77777777">
            <w:pPr>
              <w:rPr>
                <w:sz w:val="20"/>
                <w:szCs w:val="20"/>
              </w:rPr>
            </w:pPr>
            <w:r w:rsidRPr="00CB5C2B">
              <w:rPr>
                <w:sz w:val="20"/>
                <w:szCs w:val="20"/>
              </w:rPr>
              <w:t>Hold</w:t>
            </w:r>
            <w:r>
              <w:rPr>
                <w:sz w:val="20"/>
                <w:szCs w:val="20"/>
              </w:rPr>
              <w:t>s</w:t>
            </w:r>
            <w:r w:rsidRPr="00CB5C2B">
              <w:rPr>
                <w:sz w:val="20"/>
                <w:szCs w:val="20"/>
              </w:rPr>
              <w:t xml:space="preserve"> a Diploma of Community </w:t>
            </w:r>
            <w:proofErr w:type="gramStart"/>
            <w:r w:rsidRPr="00CB5C2B">
              <w:rPr>
                <w:sz w:val="20"/>
                <w:szCs w:val="20"/>
              </w:rPr>
              <w:t>Services;</w:t>
            </w:r>
            <w:proofErr w:type="gramEnd"/>
            <w:r w:rsidRPr="00CB5C2B">
              <w:rPr>
                <w:sz w:val="20"/>
                <w:szCs w:val="20"/>
              </w:rPr>
              <w:t xml:space="preserve"> </w:t>
            </w:r>
          </w:p>
          <w:p w:rsidRPr="00CB5C2B" w:rsidR="0042080B" w:rsidP="0042080B" w:rsidRDefault="0042080B" w14:paraId="60C30CAD" w14:textId="77777777">
            <w:pPr>
              <w:rPr>
                <w:sz w:val="20"/>
                <w:szCs w:val="20"/>
              </w:rPr>
            </w:pPr>
            <w:r w:rsidRPr="00CB5C2B">
              <w:rPr>
                <w:sz w:val="20"/>
                <w:szCs w:val="20"/>
              </w:rPr>
              <w:t xml:space="preserve">Participated in professional development training by VCOSS on ‘How to be Disability Inclusive’ in Feb. </w:t>
            </w:r>
            <w:proofErr w:type="gramStart"/>
            <w:r w:rsidRPr="00CB5C2B">
              <w:rPr>
                <w:sz w:val="20"/>
                <w:szCs w:val="20"/>
              </w:rPr>
              <w:t>2025;</w:t>
            </w:r>
            <w:proofErr w:type="gramEnd"/>
            <w:r w:rsidRPr="00CB5C2B">
              <w:rPr>
                <w:sz w:val="20"/>
                <w:szCs w:val="20"/>
              </w:rPr>
              <w:t xml:space="preserve"> </w:t>
            </w:r>
          </w:p>
          <w:p w:rsidRPr="00CB5C2B" w:rsidR="0042080B" w:rsidP="0042080B" w:rsidRDefault="0042080B" w14:paraId="35CA4587" w14:textId="77777777">
            <w:pPr>
              <w:rPr>
                <w:sz w:val="20"/>
                <w:szCs w:val="20"/>
              </w:rPr>
            </w:pPr>
            <w:r w:rsidRPr="00CB5C2B">
              <w:rPr>
                <w:sz w:val="20"/>
                <w:szCs w:val="20"/>
              </w:rPr>
              <w:t>Completed the Australian Human Rights Commission online training on building a culture of accessibility and inclusion in Jun</w:t>
            </w:r>
            <w:r>
              <w:rPr>
                <w:sz w:val="20"/>
                <w:szCs w:val="20"/>
              </w:rPr>
              <w:t>.</w:t>
            </w:r>
            <w:r w:rsidRPr="00CB5C2B">
              <w:rPr>
                <w:sz w:val="20"/>
                <w:szCs w:val="20"/>
              </w:rPr>
              <w:t xml:space="preserve"> 2025.</w:t>
            </w:r>
          </w:p>
          <w:p w:rsidRPr="007D6857" w:rsidR="0042080B" w:rsidP="0042080B" w:rsidRDefault="0042080B" w14:paraId="1799B8BC" w14:textId="2BDA2F79">
            <w:pPr>
              <w:rPr>
                <w:b/>
                <w:bCs/>
                <w:sz w:val="21"/>
                <w:szCs w:val="21"/>
              </w:rPr>
            </w:pPr>
            <w:r w:rsidRPr="00CB5C2B">
              <w:rPr>
                <w:sz w:val="20"/>
                <w:szCs w:val="20"/>
              </w:rPr>
              <w:t>Developed</w:t>
            </w:r>
            <w:r>
              <w:rPr>
                <w:sz w:val="20"/>
                <w:szCs w:val="20"/>
              </w:rPr>
              <w:t xml:space="preserve"> </w:t>
            </w:r>
            <w:proofErr w:type="spellStart"/>
            <w:r>
              <w:rPr>
                <w:sz w:val="20"/>
                <w:szCs w:val="20"/>
              </w:rPr>
              <w:t>elearning</w:t>
            </w:r>
            <w:proofErr w:type="spellEnd"/>
            <w:r w:rsidRPr="00CB5C2B">
              <w:rPr>
                <w:sz w:val="20"/>
                <w:szCs w:val="20"/>
              </w:rPr>
              <w:t xml:space="preserve"> in-house ADA training for all technical writers and project managers.</w:t>
            </w:r>
          </w:p>
        </w:tc>
      </w:tr>
      <w:tr w:rsidRPr="007D6857" w:rsidR="008726DD" w:rsidTr="008726DD" w14:paraId="03EA7F75" w14:textId="77777777">
        <w:tc>
          <w:tcPr>
            <w:tcW w:w="1176" w:type="dxa"/>
          </w:tcPr>
          <w:p w:rsidRPr="007D6857" w:rsidR="008726DD" w:rsidP="00911C6B" w:rsidRDefault="008726DD" w14:paraId="6C885B11" w14:textId="77777777">
            <w:pPr>
              <w:rPr>
                <w:b/>
                <w:bCs/>
                <w:sz w:val="21"/>
                <w:szCs w:val="21"/>
              </w:rPr>
            </w:pPr>
            <w:r w:rsidRPr="007D6857">
              <w:rPr>
                <w:b/>
                <w:bCs/>
                <w:sz w:val="21"/>
                <w:szCs w:val="21"/>
              </w:rPr>
              <w:t>Date:</w:t>
            </w:r>
          </w:p>
        </w:tc>
        <w:tc>
          <w:tcPr>
            <w:tcW w:w="7840" w:type="dxa"/>
          </w:tcPr>
          <w:p w:rsidRPr="007D6857" w:rsidR="008726DD" w:rsidP="00911C6B" w:rsidRDefault="0042080B" w14:paraId="461A8EF1" w14:textId="2FCF0AC3">
            <w:pPr>
              <w:rPr>
                <w:b/>
                <w:bCs/>
                <w:sz w:val="21"/>
                <w:szCs w:val="21"/>
              </w:rPr>
            </w:pPr>
            <w:r>
              <w:rPr>
                <w:b/>
                <w:bCs/>
                <w:sz w:val="21"/>
                <w:szCs w:val="21"/>
              </w:rPr>
              <w:t>06/06/2025</w:t>
            </w:r>
          </w:p>
        </w:tc>
      </w:tr>
    </w:tbl>
    <w:p w:rsidRPr="007D6857" w:rsidR="00951207" w:rsidRDefault="00951207" w14:paraId="7F298A3D" w14:textId="77777777">
      <w:pPr>
        <w:rPr>
          <w:b/>
          <w:bCs/>
          <w:sz w:val="21"/>
          <w:szCs w:val="21"/>
          <w:highlight w:val="yellow"/>
        </w:rPr>
      </w:pPr>
    </w:p>
    <w:p w:rsidRPr="00D76B2A" w:rsidR="007D6857" w:rsidRDefault="00951207" w14:paraId="24C00DAA" w14:textId="76D8F883">
      <w:pPr>
        <w:rPr>
          <w:b/>
          <w:bCs/>
        </w:rPr>
      </w:pPr>
      <w:r w:rsidRPr="00D76B2A">
        <w:rPr>
          <w:b/>
          <w:bCs/>
        </w:rPr>
        <w:lastRenderedPageBreak/>
        <w:t xml:space="preserve">Appendix A - </w:t>
      </w:r>
      <w:r w:rsidRPr="00D76B2A" w:rsidR="007D6857">
        <w:rPr>
          <w:b/>
          <w:bCs/>
        </w:rPr>
        <w:t>Training Products provided for assessment</w:t>
      </w:r>
    </w:p>
    <w:p w:rsidRPr="00D76B2A" w:rsidR="007D6857" w:rsidRDefault="007D6857" w14:paraId="1B632ACD" w14:textId="51962A86">
      <w:pPr>
        <w:rPr>
          <w:b/>
          <w:bCs/>
          <w:sz w:val="21"/>
          <w:szCs w:val="21"/>
        </w:rPr>
      </w:pPr>
      <w:r w:rsidRPr="00D76B2A">
        <w:rPr>
          <w:b/>
          <w:bCs/>
          <w:sz w:val="21"/>
          <w:szCs w:val="21"/>
        </w:rPr>
        <w:t>Qualifications</w:t>
      </w:r>
    </w:p>
    <w:tbl>
      <w:tblPr>
        <w:tblStyle w:val="TableGrid"/>
        <w:tblW w:w="0" w:type="auto"/>
        <w:tblLook w:val="04A0" w:firstRow="1" w:lastRow="0" w:firstColumn="1" w:lastColumn="0" w:noHBand="0" w:noVBand="1"/>
      </w:tblPr>
      <w:tblGrid>
        <w:gridCol w:w="2122"/>
        <w:gridCol w:w="6894"/>
      </w:tblGrid>
      <w:tr w:rsidRPr="00D76B2A" w:rsidR="007D6857" w:rsidTr="007D6857" w14:paraId="14E20421" w14:textId="77777777">
        <w:tc>
          <w:tcPr>
            <w:tcW w:w="2122" w:type="dxa"/>
          </w:tcPr>
          <w:p w:rsidRPr="00D76B2A" w:rsidR="007D6857" w:rsidP="00911C6B" w:rsidRDefault="007D6857" w14:paraId="54593CEF" w14:textId="7E4100E6">
            <w:pPr>
              <w:rPr>
                <w:b/>
                <w:bCs/>
                <w:sz w:val="21"/>
                <w:szCs w:val="21"/>
              </w:rPr>
            </w:pPr>
            <w:r w:rsidRPr="00D76B2A">
              <w:rPr>
                <w:b/>
                <w:bCs/>
                <w:sz w:val="21"/>
                <w:szCs w:val="21"/>
              </w:rPr>
              <w:t>Qualification Code</w:t>
            </w:r>
          </w:p>
        </w:tc>
        <w:tc>
          <w:tcPr>
            <w:tcW w:w="6894" w:type="dxa"/>
          </w:tcPr>
          <w:p w:rsidRPr="00D76B2A" w:rsidR="007D6857" w:rsidP="00911C6B" w:rsidRDefault="007D6857" w14:paraId="7E8379BB" w14:textId="795C075C">
            <w:pPr>
              <w:rPr>
                <w:b/>
                <w:bCs/>
                <w:sz w:val="21"/>
                <w:szCs w:val="21"/>
              </w:rPr>
            </w:pPr>
            <w:r w:rsidRPr="00D76B2A">
              <w:rPr>
                <w:b/>
                <w:bCs/>
                <w:sz w:val="21"/>
                <w:szCs w:val="21"/>
              </w:rPr>
              <w:t>Qualification Title</w:t>
            </w:r>
          </w:p>
        </w:tc>
      </w:tr>
      <w:tr w:rsidRPr="00D76B2A" w:rsidR="007D6857" w:rsidTr="007D6857" w14:paraId="66AF7D81" w14:textId="77777777">
        <w:tc>
          <w:tcPr>
            <w:tcW w:w="2122" w:type="dxa"/>
          </w:tcPr>
          <w:p w:rsidRPr="00BC472B" w:rsidR="007D6857" w:rsidP="00911C6B" w:rsidRDefault="00A52473" w14:paraId="3DC52FF1" w14:textId="556B75D8">
            <w:pPr>
              <w:rPr>
                <w:sz w:val="21"/>
                <w:szCs w:val="21"/>
              </w:rPr>
            </w:pPr>
            <w:r w:rsidRPr="00BC472B">
              <w:rPr>
                <w:sz w:val="21"/>
                <w:szCs w:val="21"/>
              </w:rPr>
              <w:t>HLT37525</w:t>
            </w:r>
          </w:p>
        </w:tc>
        <w:tc>
          <w:tcPr>
            <w:tcW w:w="6894" w:type="dxa"/>
          </w:tcPr>
          <w:p w:rsidRPr="00BC472B" w:rsidR="007D6857" w:rsidP="00911C6B" w:rsidRDefault="00A52473" w14:paraId="50CD151B" w14:textId="7AB1CD65">
            <w:pPr>
              <w:rPr>
                <w:sz w:val="21"/>
                <w:szCs w:val="21"/>
              </w:rPr>
            </w:pPr>
            <w:r w:rsidRPr="00BC472B">
              <w:rPr>
                <w:sz w:val="21"/>
                <w:szCs w:val="21"/>
              </w:rPr>
              <w:t>Certificate III in Pathology</w:t>
            </w:r>
          </w:p>
        </w:tc>
      </w:tr>
    </w:tbl>
    <w:p w:rsidR="00D76B2A" w:rsidP="007D6857" w:rsidRDefault="00D76B2A" w14:paraId="70EC6892" w14:textId="77777777">
      <w:pPr>
        <w:rPr>
          <w:b/>
          <w:bCs/>
          <w:sz w:val="21"/>
          <w:szCs w:val="21"/>
        </w:rPr>
      </w:pPr>
    </w:p>
    <w:p w:rsidRPr="00D76B2A" w:rsidR="007D6857" w:rsidP="007D6857" w:rsidRDefault="007D6857" w14:paraId="00544B52" w14:textId="0DCF9DFB">
      <w:pPr>
        <w:rPr>
          <w:b/>
          <w:bCs/>
          <w:sz w:val="21"/>
          <w:szCs w:val="21"/>
        </w:rPr>
      </w:pPr>
      <w:r w:rsidRPr="00D76B2A">
        <w:rPr>
          <w:b/>
          <w:bCs/>
          <w:sz w:val="21"/>
          <w:szCs w:val="21"/>
        </w:rPr>
        <w:t>Units of Competency (</w:t>
      </w:r>
      <w:proofErr w:type="spellStart"/>
      <w:r w:rsidRPr="00D76B2A">
        <w:rPr>
          <w:b/>
          <w:bCs/>
          <w:sz w:val="21"/>
          <w:szCs w:val="21"/>
        </w:rPr>
        <w:t>UoC</w:t>
      </w:r>
      <w:proofErr w:type="spellEnd"/>
      <w:r w:rsidRPr="00D76B2A">
        <w:rPr>
          <w:b/>
          <w:bCs/>
          <w:sz w:val="21"/>
          <w:szCs w:val="21"/>
        </w:rPr>
        <w:t>)</w:t>
      </w:r>
    </w:p>
    <w:tbl>
      <w:tblPr>
        <w:tblStyle w:val="TableGrid"/>
        <w:tblW w:w="0" w:type="auto"/>
        <w:tblLook w:val="04A0" w:firstRow="1" w:lastRow="0" w:firstColumn="1" w:lastColumn="0" w:noHBand="0" w:noVBand="1"/>
      </w:tblPr>
      <w:tblGrid>
        <w:gridCol w:w="2122"/>
        <w:gridCol w:w="6894"/>
      </w:tblGrid>
      <w:tr w:rsidRPr="00D76B2A" w:rsidR="007D6857" w:rsidTr="00911C6B" w14:paraId="57AAB928" w14:textId="77777777">
        <w:tc>
          <w:tcPr>
            <w:tcW w:w="2122" w:type="dxa"/>
          </w:tcPr>
          <w:p w:rsidRPr="00D76B2A" w:rsidR="007D6857" w:rsidP="00911C6B" w:rsidRDefault="007D6857" w14:paraId="3CDA275C" w14:textId="1DEBBBFF">
            <w:pPr>
              <w:rPr>
                <w:b/>
                <w:bCs/>
                <w:sz w:val="21"/>
                <w:szCs w:val="21"/>
              </w:rPr>
            </w:pPr>
            <w:proofErr w:type="spellStart"/>
            <w:r w:rsidRPr="00D76B2A">
              <w:rPr>
                <w:b/>
                <w:bCs/>
                <w:sz w:val="21"/>
                <w:szCs w:val="21"/>
              </w:rPr>
              <w:t>UoC</w:t>
            </w:r>
            <w:proofErr w:type="spellEnd"/>
            <w:r w:rsidRPr="00D76B2A">
              <w:rPr>
                <w:b/>
                <w:bCs/>
                <w:sz w:val="21"/>
                <w:szCs w:val="21"/>
              </w:rPr>
              <w:t xml:space="preserve"> Code</w:t>
            </w:r>
          </w:p>
        </w:tc>
        <w:tc>
          <w:tcPr>
            <w:tcW w:w="6894" w:type="dxa"/>
          </w:tcPr>
          <w:p w:rsidRPr="00D76B2A" w:rsidR="007D6857" w:rsidP="00911C6B" w:rsidRDefault="007D6857" w14:paraId="1824D276" w14:textId="1F6AD028">
            <w:pPr>
              <w:rPr>
                <w:b/>
                <w:bCs/>
                <w:sz w:val="21"/>
                <w:szCs w:val="21"/>
              </w:rPr>
            </w:pPr>
            <w:proofErr w:type="spellStart"/>
            <w:r w:rsidRPr="00D76B2A">
              <w:rPr>
                <w:b/>
                <w:bCs/>
                <w:sz w:val="21"/>
                <w:szCs w:val="21"/>
              </w:rPr>
              <w:t>UoC</w:t>
            </w:r>
            <w:proofErr w:type="spellEnd"/>
            <w:r w:rsidRPr="00D76B2A">
              <w:rPr>
                <w:b/>
                <w:bCs/>
                <w:sz w:val="21"/>
                <w:szCs w:val="21"/>
              </w:rPr>
              <w:t xml:space="preserve"> Title</w:t>
            </w:r>
          </w:p>
        </w:tc>
      </w:tr>
      <w:tr w:rsidRPr="00D76B2A" w:rsidR="007D6857" w:rsidTr="00911C6B" w14:paraId="43A8EBFE" w14:textId="77777777">
        <w:tc>
          <w:tcPr>
            <w:tcW w:w="2122" w:type="dxa"/>
          </w:tcPr>
          <w:p w:rsidRPr="00BC472B" w:rsidR="007D6857" w:rsidP="00911C6B" w:rsidRDefault="00A52473" w14:paraId="4B8E0787" w14:textId="5ED73146">
            <w:pPr>
              <w:rPr>
                <w:sz w:val="21"/>
                <w:szCs w:val="21"/>
              </w:rPr>
            </w:pPr>
            <w:r w:rsidRPr="00BC472B">
              <w:rPr>
                <w:sz w:val="21"/>
                <w:szCs w:val="21"/>
              </w:rPr>
              <w:t>HLTCAR004</w:t>
            </w:r>
          </w:p>
        </w:tc>
        <w:tc>
          <w:tcPr>
            <w:tcW w:w="6894" w:type="dxa"/>
          </w:tcPr>
          <w:p w:rsidRPr="00BC472B" w:rsidR="007D6857" w:rsidP="00911C6B" w:rsidRDefault="00A52473" w14:paraId="22C39146" w14:textId="1DD9D812">
            <w:pPr>
              <w:rPr>
                <w:sz w:val="21"/>
                <w:szCs w:val="21"/>
              </w:rPr>
            </w:pPr>
            <w:r w:rsidRPr="00BC472B">
              <w:rPr>
                <w:sz w:val="21"/>
                <w:szCs w:val="21"/>
              </w:rPr>
              <w:t>Perform electrocardiography (ECG)</w:t>
            </w:r>
          </w:p>
        </w:tc>
      </w:tr>
      <w:tr w:rsidRPr="00D76B2A" w:rsidR="007D6857" w:rsidTr="00911C6B" w14:paraId="4819B740" w14:textId="77777777">
        <w:tc>
          <w:tcPr>
            <w:tcW w:w="2122" w:type="dxa"/>
          </w:tcPr>
          <w:p w:rsidRPr="00BC472B" w:rsidR="007D6857" w:rsidP="00911C6B" w:rsidRDefault="00A52473" w14:paraId="427246A4" w14:textId="72B2B2DF">
            <w:pPr>
              <w:rPr>
                <w:sz w:val="21"/>
                <w:szCs w:val="21"/>
              </w:rPr>
            </w:pPr>
            <w:r w:rsidRPr="00BC472B">
              <w:rPr>
                <w:sz w:val="21"/>
                <w:szCs w:val="21"/>
              </w:rPr>
              <w:t>HLTCAR005</w:t>
            </w:r>
          </w:p>
        </w:tc>
        <w:tc>
          <w:tcPr>
            <w:tcW w:w="6894" w:type="dxa"/>
          </w:tcPr>
          <w:p w:rsidRPr="00BC472B" w:rsidR="007D6857" w:rsidP="00911C6B" w:rsidRDefault="00A52473" w14:paraId="350CD37A" w14:textId="04767FD3">
            <w:pPr>
              <w:rPr>
                <w:sz w:val="21"/>
                <w:szCs w:val="21"/>
              </w:rPr>
            </w:pPr>
            <w:r w:rsidRPr="00BC472B">
              <w:rPr>
                <w:sz w:val="21"/>
                <w:szCs w:val="21"/>
              </w:rPr>
              <w:t>Perform holter monitoring</w:t>
            </w:r>
          </w:p>
        </w:tc>
      </w:tr>
      <w:tr w:rsidRPr="00D76B2A" w:rsidR="007D6857" w:rsidTr="00911C6B" w14:paraId="086250F2" w14:textId="77777777">
        <w:tc>
          <w:tcPr>
            <w:tcW w:w="2122" w:type="dxa"/>
          </w:tcPr>
          <w:p w:rsidRPr="00BC472B" w:rsidR="007D6857" w:rsidP="00911C6B" w:rsidRDefault="00A52473" w14:paraId="1D97FA7A" w14:textId="726D3E0A">
            <w:pPr>
              <w:rPr>
                <w:sz w:val="21"/>
                <w:szCs w:val="21"/>
              </w:rPr>
            </w:pPr>
            <w:r w:rsidRPr="00BC472B">
              <w:rPr>
                <w:sz w:val="21"/>
                <w:szCs w:val="21"/>
              </w:rPr>
              <w:t>HLTHPS011</w:t>
            </w:r>
          </w:p>
        </w:tc>
        <w:tc>
          <w:tcPr>
            <w:tcW w:w="6894" w:type="dxa"/>
          </w:tcPr>
          <w:p w:rsidRPr="00BC472B" w:rsidR="007D6857" w:rsidP="00911C6B" w:rsidRDefault="00A52473" w14:paraId="6A70E732" w14:textId="7B13E96E">
            <w:pPr>
              <w:rPr>
                <w:sz w:val="21"/>
                <w:szCs w:val="21"/>
              </w:rPr>
            </w:pPr>
            <w:r w:rsidRPr="00BC472B">
              <w:rPr>
                <w:sz w:val="21"/>
                <w:szCs w:val="21"/>
              </w:rPr>
              <w:t>Measure spirometry</w:t>
            </w:r>
          </w:p>
        </w:tc>
      </w:tr>
      <w:tr w:rsidRPr="00D76B2A" w:rsidR="00831ED4" w:rsidTr="00911C6B" w14:paraId="3179048F" w14:textId="77777777">
        <w:tc>
          <w:tcPr>
            <w:tcW w:w="2122" w:type="dxa"/>
          </w:tcPr>
          <w:p w:rsidRPr="00BC472B" w:rsidR="00831ED4" w:rsidP="00911C6B" w:rsidRDefault="00A52473" w14:paraId="089E9326" w14:textId="13D07016">
            <w:pPr>
              <w:rPr>
                <w:sz w:val="21"/>
                <w:szCs w:val="21"/>
              </w:rPr>
            </w:pPr>
            <w:r w:rsidRPr="00BC472B">
              <w:rPr>
                <w:sz w:val="21"/>
                <w:szCs w:val="21"/>
              </w:rPr>
              <w:t>HLTPAT008</w:t>
            </w:r>
          </w:p>
        </w:tc>
        <w:tc>
          <w:tcPr>
            <w:tcW w:w="6894" w:type="dxa"/>
          </w:tcPr>
          <w:p w:rsidRPr="00BC472B" w:rsidR="00831ED4" w:rsidP="00911C6B" w:rsidRDefault="00A52473" w14:paraId="467FD772" w14:textId="450438A7">
            <w:pPr>
              <w:rPr>
                <w:sz w:val="21"/>
                <w:szCs w:val="21"/>
              </w:rPr>
            </w:pPr>
            <w:r w:rsidRPr="00BC472B">
              <w:rPr>
                <w:sz w:val="21"/>
                <w:szCs w:val="21"/>
              </w:rPr>
              <w:t>Identify and respond to clinical risks in pathology collection</w:t>
            </w:r>
          </w:p>
        </w:tc>
      </w:tr>
      <w:tr w:rsidRPr="00D76B2A" w:rsidR="00831ED4" w:rsidTr="00911C6B" w14:paraId="62786775" w14:textId="77777777">
        <w:tc>
          <w:tcPr>
            <w:tcW w:w="2122" w:type="dxa"/>
          </w:tcPr>
          <w:p w:rsidRPr="00BC472B" w:rsidR="00831ED4" w:rsidP="00911C6B" w:rsidRDefault="00A52473" w14:paraId="0AB0BB1E" w14:textId="4DE87438">
            <w:pPr>
              <w:rPr>
                <w:sz w:val="21"/>
                <w:szCs w:val="21"/>
              </w:rPr>
            </w:pPr>
            <w:r w:rsidRPr="00BC472B">
              <w:rPr>
                <w:sz w:val="21"/>
                <w:szCs w:val="21"/>
              </w:rPr>
              <w:t>HLTPAT009</w:t>
            </w:r>
          </w:p>
        </w:tc>
        <w:tc>
          <w:tcPr>
            <w:tcW w:w="6894" w:type="dxa"/>
          </w:tcPr>
          <w:p w:rsidRPr="00BC472B" w:rsidR="00831ED4" w:rsidP="00911C6B" w:rsidRDefault="003578BC" w14:paraId="39072738" w14:textId="00BBE4B9">
            <w:pPr>
              <w:rPr>
                <w:sz w:val="21"/>
                <w:szCs w:val="21"/>
              </w:rPr>
            </w:pPr>
            <w:r w:rsidRPr="00BC472B">
              <w:rPr>
                <w:sz w:val="21"/>
                <w:szCs w:val="21"/>
              </w:rPr>
              <w:t>Collect pathology specimens other than blood</w:t>
            </w:r>
          </w:p>
        </w:tc>
      </w:tr>
      <w:tr w:rsidRPr="00D76B2A" w:rsidR="00831ED4" w:rsidTr="00911C6B" w14:paraId="6E95CCDA" w14:textId="77777777">
        <w:tc>
          <w:tcPr>
            <w:tcW w:w="2122" w:type="dxa"/>
          </w:tcPr>
          <w:p w:rsidRPr="00BC472B" w:rsidR="00831ED4" w:rsidP="00911C6B" w:rsidRDefault="003578BC" w14:paraId="4025E4B9" w14:textId="1249EFAE">
            <w:pPr>
              <w:rPr>
                <w:sz w:val="21"/>
                <w:szCs w:val="21"/>
              </w:rPr>
            </w:pPr>
            <w:r w:rsidRPr="00BC472B">
              <w:rPr>
                <w:sz w:val="21"/>
                <w:szCs w:val="21"/>
              </w:rPr>
              <w:t>HLTPAT010</w:t>
            </w:r>
          </w:p>
        </w:tc>
        <w:tc>
          <w:tcPr>
            <w:tcW w:w="6894" w:type="dxa"/>
          </w:tcPr>
          <w:p w:rsidRPr="00BC472B" w:rsidR="00831ED4" w:rsidP="00911C6B" w:rsidRDefault="003578BC" w14:paraId="08C4524B" w14:textId="2B5BB852">
            <w:pPr>
              <w:rPr>
                <w:sz w:val="21"/>
                <w:szCs w:val="21"/>
              </w:rPr>
            </w:pPr>
            <w:r w:rsidRPr="00BC472B">
              <w:rPr>
                <w:sz w:val="21"/>
                <w:szCs w:val="21"/>
              </w:rPr>
              <w:t>Collect specimens for drugs of abuse testing</w:t>
            </w:r>
          </w:p>
        </w:tc>
      </w:tr>
      <w:tr w:rsidRPr="00D76B2A" w:rsidR="00BE2805" w:rsidTr="00911C6B" w14:paraId="7C5C2878" w14:textId="77777777">
        <w:tc>
          <w:tcPr>
            <w:tcW w:w="2122" w:type="dxa"/>
          </w:tcPr>
          <w:p w:rsidRPr="00BC472B" w:rsidR="00BE2805" w:rsidP="00911C6B" w:rsidRDefault="003578BC" w14:paraId="2E685F39" w14:textId="4377A110">
            <w:pPr>
              <w:rPr>
                <w:sz w:val="21"/>
                <w:szCs w:val="21"/>
              </w:rPr>
            </w:pPr>
            <w:r w:rsidRPr="00BC472B">
              <w:rPr>
                <w:sz w:val="21"/>
                <w:szCs w:val="21"/>
              </w:rPr>
              <w:t>HLTPAT011</w:t>
            </w:r>
          </w:p>
        </w:tc>
        <w:tc>
          <w:tcPr>
            <w:tcW w:w="6894" w:type="dxa"/>
          </w:tcPr>
          <w:p w:rsidRPr="00BC472B" w:rsidR="00BE2805" w:rsidP="00911C6B" w:rsidRDefault="003578BC" w14:paraId="7519DDBA" w14:textId="1133D2FB">
            <w:pPr>
              <w:rPr>
                <w:sz w:val="21"/>
                <w:szCs w:val="21"/>
              </w:rPr>
            </w:pPr>
            <w:r w:rsidRPr="00BC472B">
              <w:rPr>
                <w:sz w:val="21"/>
                <w:szCs w:val="21"/>
              </w:rPr>
              <w:t>Receive, prepare and dispatch pathology specimens</w:t>
            </w:r>
          </w:p>
        </w:tc>
      </w:tr>
      <w:tr w:rsidRPr="00D76B2A" w:rsidR="00BE2805" w:rsidTr="00911C6B" w14:paraId="081EC07F" w14:textId="77777777">
        <w:tc>
          <w:tcPr>
            <w:tcW w:w="2122" w:type="dxa"/>
          </w:tcPr>
          <w:p w:rsidRPr="00BC472B" w:rsidR="00BE2805" w:rsidP="00911C6B" w:rsidRDefault="003578BC" w14:paraId="76898631" w14:textId="53D771D2">
            <w:pPr>
              <w:rPr>
                <w:sz w:val="21"/>
                <w:szCs w:val="21"/>
              </w:rPr>
            </w:pPr>
            <w:r w:rsidRPr="00BC472B">
              <w:rPr>
                <w:sz w:val="21"/>
                <w:szCs w:val="21"/>
              </w:rPr>
              <w:t>HLTPAT012</w:t>
            </w:r>
          </w:p>
        </w:tc>
        <w:tc>
          <w:tcPr>
            <w:tcW w:w="6894" w:type="dxa"/>
          </w:tcPr>
          <w:p w:rsidRPr="00BC472B" w:rsidR="00BE2805" w:rsidP="00911C6B" w:rsidRDefault="003578BC" w14:paraId="14EDF6B8" w14:textId="6AE97DA1">
            <w:pPr>
              <w:rPr>
                <w:sz w:val="21"/>
                <w:szCs w:val="21"/>
              </w:rPr>
            </w:pPr>
            <w:r w:rsidRPr="00BC472B">
              <w:rPr>
                <w:sz w:val="21"/>
                <w:szCs w:val="21"/>
              </w:rPr>
              <w:t>Perform capillary blood collection</w:t>
            </w:r>
          </w:p>
        </w:tc>
      </w:tr>
      <w:tr w:rsidRPr="00D76B2A" w:rsidR="00BE2805" w:rsidTr="00911C6B" w14:paraId="0ED24D72" w14:textId="77777777">
        <w:tc>
          <w:tcPr>
            <w:tcW w:w="2122" w:type="dxa"/>
          </w:tcPr>
          <w:p w:rsidRPr="00BC472B" w:rsidR="00BE2805" w:rsidP="00911C6B" w:rsidRDefault="003578BC" w14:paraId="1ECB7ED6" w14:textId="64237DA5">
            <w:pPr>
              <w:rPr>
                <w:sz w:val="21"/>
                <w:szCs w:val="21"/>
              </w:rPr>
            </w:pPr>
            <w:r w:rsidRPr="00BC472B">
              <w:rPr>
                <w:sz w:val="21"/>
                <w:szCs w:val="21"/>
              </w:rPr>
              <w:t>HLTPAT013</w:t>
            </w:r>
          </w:p>
        </w:tc>
        <w:tc>
          <w:tcPr>
            <w:tcW w:w="6894" w:type="dxa"/>
          </w:tcPr>
          <w:p w:rsidRPr="00BC472B" w:rsidR="00BE2805" w:rsidP="00911C6B" w:rsidRDefault="003578BC" w14:paraId="7FCDA224" w14:textId="63AA6349">
            <w:pPr>
              <w:rPr>
                <w:sz w:val="21"/>
                <w:szCs w:val="21"/>
              </w:rPr>
            </w:pPr>
            <w:r w:rsidRPr="00BC472B">
              <w:rPr>
                <w:sz w:val="21"/>
                <w:szCs w:val="21"/>
              </w:rPr>
              <w:t>Perform venous blood collection from children 0 to 5 years</w:t>
            </w:r>
          </w:p>
        </w:tc>
      </w:tr>
    </w:tbl>
    <w:p w:rsidR="00D76B2A" w:rsidP="007D6857" w:rsidRDefault="00D76B2A" w14:paraId="6BDE801A" w14:textId="77777777">
      <w:pPr>
        <w:rPr>
          <w:b/>
          <w:bCs/>
          <w:sz w:val="21"/>
          <w:szCs w:val="21"/>
        </w:rPr>
      </w:pPr>
    </w:p>
    <w:p w:rsidR="2C4B6C16" w:rsidP="2C4B6C16" w:rsidRDefault="2C4B6C16" w14:paraId="4CEC269F" w14:textId="625BB6F3">
      <w:pPr>
        <w:rPr>
          <w:b/>
          <w:bCs/>
          <w:sz w:val="21"/>
          <w:szCs w:val="21"/>
        </w:rPr>
      </w:pPr>
    </w:p>
    <w:p w:rsidRPr="00D76B2A" w:rsidR="007D6857" w:rsidP="007D6857" w:rsidRDefault="007D6857" w14:paraId="2688E0EF" w14:textId="38749756">
      <w:pPr>
        <w:rPr>
          <w:b/>
          <w:bCs/>
          <w:sz w:val="21"/>
          <w:szCs w:val="21"/>
        </w:rPr>
      </w:pPr>
      <w:r w:rsidRPr="00D76B2A">
        <w:rPr>
          <w:b/>
          <w:bCs/>
          <w:sz w:val="21"/>
          <w:szCs w:val="21"/>
        </w:rPr>
        <w:t>Skill Sets</w:t>
      </w:r>
    </w:p>
    <w:tbl>
      <w:tblPr>
        <w:tblStyle w:val="TableGrid"/>
        <w:tblW w:w="0" w:type="auto"/>
        <w:tblLook w:val="04A0" w:firstRow="1" w:lastRow="0" w:firstColumn="1" w:lastColumn="0" w:noHBand="0" w:noVBand="1"/>
      </w:tblPr>
      <w:tblGrid>
        <w:gridCol w:w="2122"/>
        <w:gridCol w:w="6894"/>
      </w:tblGrid>
      <w:tr w:rsidRPr="007D6857" w:rsidR="007D6857" w:rsidTr="00911C6B" w14:paraId="21975971" w14:textId="77777777">
        <w:tc>
          <w:tcPr>
            <w:tcW w:w="2122" w:type="dxa"/>
          </w:tcPr>
          <w:p w:rsidRPr="007D6857" w:rsidR="007D6857" w:rsidP="00911C6B" w:rsidRDefault="007D6857" w14:paraId="6C2A0052" w14:textId="76E0DBD8">
            <w:pPr>
              <w:rPr>
                <w:b/>
                <w:bCs/>
                <w:sz w:val="21"/>
                <w:szCs w:val="21"/>
              </w:rPr>
            </w:pPr>
            <w:r>
              <w:rPr>
                <w:b/>
                <w:bCs/>
                <w:sz w:val="21"/>
                <w:szCs w:val="21"/>
              </w:rPr>
              <w:t>Skill Set Code</w:t>
            </w:r>
          </w:p>
        </w:tc>
        <w:tc>
          <w:tcPr>
            <w:tcW w:w="6894" w:type="dxa"/>
          </w:tcPr>
          <w:p w:rsidRPr="007D6857" w:rsidR="007D6857" w:rsidP="00911C6B" w:rsidRDefault="007D6857" w14:paraId="225B3F47" w14:textId="0B57F17A">
            <w:pPr>
              <w:rPr>
                <w:b/>
                <w:bCs/>
                <w:sz w:val="21"/>
                <w:szCs w:val="21"/>
              </w:rPr>
            </w:pPr>
            <w:r>
              <w:rPr>
                <w:b/>
                <w:bCs/>
                <w:sz w:val="21"/>
                <w:szCs w:val="21"/>
              </w:rPr>
              <w:t>Skill Set Title</w:t>
            </w:r>
          </w:p>
        </w:tc>
      </w:tr>
      <w:tr w:rsidRPr="007D6857" w:rsidR="007D6857" w:rsidTr="00911C6B" w14:paraId="42889B4C" w14:textId="77777777">
        <w:tc>
          <w:tcPr>
            <w:tcW w:w="2122" w:type="dxa"/>
          </w:tcPr>
          <w:p w:rsidRPr="00BC472B" w:rsidR="007D6857" w:rsidP="00911C6B" w:rsidRDefault="003578BC" w14:paraId="464F04F0" w14:textId="398B9FBF">
            <w:pPr>
              <w:rPr>
                <w:sz w:val="21"/>
                <w:szCs w:val="21"/>
              </w:rPr>
            </w:pPr>
            <w:r w:rsidRPr="00BC472B">
              <w:rPr>
                <w:sz w:val="21"/>
                <w:szCs w:val="21"/>
              </w:rPr>
              <w:t>HLTSS00059</w:t>
            </w:r>
          </w:p>
        </w:tc>
        <w:tc>
          <w:tcPr>
            <w:tcW w:w="6894" w:type="dxa"/>
          </w:tcPr>
          <w:p w:rsidRPr="00BC472B" w:rsidR="007D6857" w:rsidP="00911C6B" w:rsidRDefault="003578BC" w14:paraId="607D5090" w14:textId="0EBB1289">
            <w:pPr>
              <w:rPr>
                <w:sz w:val="21"/>
                <w:szCs w:val="21"/>
              </w:rPr>
            </w:pPr>
            <w:r w:rsidRPr="00BC472B">
              <w:rPr>
                <w:sz w:val="21"/>
                <w:szCs w:val="21"/>
              </w:rPr>
              <w:t xml:space="preserve">Venous Blood </w:t>
            </w:r>
            <w:r w:rsidR="00516988">
              <w:rPr>
                <w:sz w:val="21"/>
                <w:szCs w:val="21"/>
              </w:rPr>
              <w:t xml:space="preserve">Collection </w:t>
            </w:r>
            <w:r w:rsidRPr="00BC472B">
              <w:rPr>
                <w:sz w:val="21"/>
                <w:szCs w:val="21"/>
              </w:rPr>
              <w:t>Skill Set</w:t>
            </w:r>
          </w:p>
        </w:tc>
      </w:tr>
      <w:tr w:rsidRPr="007D6857" w:rsidR="007D6857" w:rsidTr="00911C6B" w14:paraId="1681093E" w14:textId="77777777">
        <w:tc>
          <w:tcPr>
            <w:tcW w:w="2122" w:type="dxa"/>
          </w:tcPr>
          <w:p w:rsidRPr="00BC472B" w:rsidR="007D6857" w:rsidP="00911C6B" w:rsidRDefault="003578BC" w14:paraId="0DBA9D89" w14:textId="4FD85A07">
            <w:pPr>
              <w:rPr>
                <w:sz w:val="21"/>
                <w:szCs w:val="21"/>
              </w:rPr>
            </w:pPr>
            <w:r w:rsidRPr="00BC472B">
              <w:rPr>
                <w:sz w:val="21"/>
                <w:szCs w:val="21"/>
              </w:rPr>
              <w:t>HLTSS00085</w:t>
            </w:r>
          </w:p>
        </w:tc>
        <w:tc>
          <w:tcPr>
            <w:tcW w:w="6894" w:type="dxa"/>
          </w:tcPr>
          <w:p w:rsidRPr="00BC472B" w:rsidR="007D6857" w:rsidP="00911C6B" w:rsidRDefault="003578BC" w14:paraId="4B3A4BF6" w14:textId="532F2CA4">
            <w:pPr>
              <w:rPr>
                <w:sz w:val="21"/>
                <w:szCs w:val="21"/>
              </w:rPr>
            </w:pPr>
            <w:r w:rsidRPr="00BC472B">
              <w:rPr>
                <w:sz w:val="21"/>
                <w:szCs w:val="21"/>
              </w:rPr>
              <w:t>Perform Blood Collection from Children Aged 0 to 5 years</w:t>
            </w:r>
            <w:r w:rsidR="00BC472B">
              <w:rPr>
                <w:sz w:val="21"/>
                <w:szCs w:val="21"/>
              </w:rPr>
              <w:t xml:space="preserve"> Skill Set</w:t>
            </w:r>
          </w:p>
        </w:tc>
      </w:tr>
    </w:tbl>
    <w:p w:rsidR="00BC472B" w:rsidP="00173ADF" w:rsidRDefault="00BC472B" w14:paraId="032E703D" w14:textId="77777777">
      <w:pPr>
        <w:rPr>
          <w:b/>
          <w:bCs/>
        </w:rPr>
      </w:pPr>
    </w:p>
    <w:p w:rsidRPr="00173ADF" w:rsidR="00173ADF" w:rsidP="00173ADF" w:rsidRDefault="00173ADF" w14:paraId="597B3FA5" w14:textId="5971F0C4">
      <w:pPr>
        <w:rPr>
          <w:b/>
          <w:bCs/>
        </w:rPr>
      </w:pPr>
      <w:r w:rsidRPr="00173ADF">
        <w:rPr>
          <w:b/>
          <w:bCs/>
        </w:rPr>
        <w:t xml:space="preserve">Appendix </w:t>
      </w:r>
      <w:r w:rsidR="00757CA5">
        <w:rPr>
          <w:b/>
          <w:bCs/>
        </w:rPr>
        <w:t>B</w:t>
      </w:r>
      <w:r w:rsidRPr="00173ADF">
        <w:rPr>
          <w:b/>
          <w:bCs/>
        </w:rPr>
        <w:t xml:space="preserve"> – </w:t>
      </w:r>
      <w:r w:rsidRPr="00C00A05" w:rsidR="00C00A05">
        <w:rPr>
          <w:b/>
          <w:bCs/>
        </w:rPr>
        <w:t>Relevant Anti-Discrimination Legislation</w:t>
      </w:r>
    </w:p>
    <w:p w:rsidRPr="00433FD1" w:rsidR="00433FD1" w:rsidP="00433FD1" w:rsidRDefault="00433FD1" w14:paraId="2137B5B0" w14:textId="6D0B1798">
      <w:r w:rsidRPr="00433FD1">
        <w:t xml:space="preserve">Below is a brief explanation of </w:t>
      </w:r>
      <w:r w:rsidR="008D4D4A">
        <w:t>relevant</w:t>
      </w:r>
      <w:r w:rsidRPr="00433FD1">
        <w:t xml:space="preserve"> anti-discrimination legislation and how it relates to </w:t>
      </w:r>
      <w:r w:rsidR="008D4D4A">
        <w:t>developing</w:t>
      </w:r>
      <w:r w:rsidRPr="00433FD1">
        <w:t xml:space="preserve"> training products. This section can be referenced during the ADA process to ensure compliance with legal standards.</w:t>
      </w:r>
    </w:p>
    <w:p w:rsidR="007629EF" w:rsidP="00433FD1" w:rsidRDefault="007629EF" w14:paraId="02E82BBF" w14:textId="489BCF1E">
      <w:pPr>
        <w:rPr>
          <w:b/>
          <w:bCs/>
        </w:rPr>
      </w:pPr>
      <w:r>
        <w:rPr>
          <w:b/>
          <w:bCs/>
        </w:rPr>
        <w:t>TP</w:t>
      </w:r>
      <w:r w:rsidR="007C750F">
        <w:rPr>
          <w:b/>
          <w:bCs/>
        </w:rPr>
        <w:t>P</w:t>
      </w:r>
      <w:r>
        <w:rPr>
          <w:b/>
          <w:bCs/>
        </w:rPr>
        <w:t>DEP</w:t>
      </w:r>
      <w:r w:rsidR="007C750F">
        <w:rPr>
          <w:b/>
          <w:bCs/>
        </w:rPr>
        <w:t>P</w:t>
      </w:r>
      <w:r>
        <w:rPr>
          <w:b/>
          <w:bCs/>
        </w:rPr>
        <w:t xml:space="preserve"> Requirements</w:t>
      </w:r>
    </w:p>
    <w:p w:rsidR="00653412" w:rsidP="00653412" w:rsidRDefault="00653412" w14:paraId="1C49E91A" w14:textId="55F2282C">
      <w:pPr>
        <w:pStyle w:val="ListParagraph"/>
        <w:numPr>
          <w:ilvl w:val="0"/>
          <w:numId w:val="16"/>
        </w:numPr>
        <w:rPr>
          <w:b/>
          <w:bCs/>
        </w:rPr>
      </w:pPr>
      <w:r>
        <w:rPr>
          <w:b/>
          <w:bCs/>
        </w:rPr>
        <w:t xml:space="preserve">Relevant </w:t>
      </w:r>
      <w:r w:rsidRPr="00B50114">
        <w:rPr>
          <w:b/>
          <w:bCs/>
        </w:rPr>
        <w:t>Section</w:t>
      </w:r>
      <w:r w:rsidR="00D82FD0">
        <w:rPr>
          <w:b/>
          <w:bCs/>
        </w:rPr>
        <w:t>/</w:t>
      </w:r>
      <w:r>
        <w:rPr>
          <w:b/>
          <w:bCs/>
        </w:rPr>
        <w:t>s</w:t>
      </w:r>
      <w:r w:rsidRPr="00B50114">
        <w:rPr>
          <w:b/>
          <w:bCs/>
        </w:rPr>
        <w:t xml:space="preserve">: </w:t>
      </w:r>
    </w:p>
    <w:p w:rsidRPr="00AE3046" w:rsidR="00B50114" w:rsidP="00DC5CD7" w:rsidRDefault="00B50114" w14:paraId="4678CE7C" w14:textId="49C6715C">
      <w:pPr>
        <w:pStyle w:val="ListParagraph"/>
        <w:numPr>
          <w:ilvl w:val="1"/>
          <w:numId w:val="16"/>
        </w:numPr>
      </w:pPr>
      <w:r w:rsidRPr="00AE3046">
        <w:t>Step 2.2 Undertake Cons</w:t>
      </w:r>
      <w:r w:rsidRPr="00AE3046" w:rsidR="00DC5CD7">
        <w:t>ultations</w:t>
      </w:r>
    </w:p>
    <w:p w:rsidRPr="00AE3046" w:rsidR="00DC5CD7" w:rsidP="00DC5CD7" w:rsidRDefault="00DC5CD7" w14:paraId="69B31030" w14:textId="6CA6AC9D">
      <w:pPr>
        <w:pStyle w:val="ListParagraph"/>
        <w:numPr>
          <w:ilvl w:val="1"/>
          <w:numId w:val="16"/>
        </w:numPr>
      </w:pPr>
      <w:r w:rsidRPr="00AE3046">
        <w:t>Step 3.1 Determine Revisions</w:t>
      </w:r>
    </w:p>
    <w:p w:rsidRPr="00AE3046" w:rsidR="00DC5CD7" w:rsidP="00DC5CD7" w:rsidRDefault="00DC5CD7" w14:paraId="117AC124" w14:textId="66F7C17B">
      <w:pPr>
        <w:pStyle w:val="ListParagraph"/>
        <w:numPr>
          <w:ilvl w:val="1"/>
          <w:numId w:val="16"/>
        </w:numPr>
      </w:pPr>
      <w:r w:rsidRPr="00AE3046">
        <w:t>Step 5.1 Submission of draft training products to the Assurance Body – Compliance Requirements</w:t>
      </w:r>
    </w:p>
    <w:p w:rsidR="007629EF" w:rsidP="00433FD1" w:rsidRDefault="00AB2663" w14:paraId="7A98A2EF" w14:textId="642CAB17">
      <w:r w:rsidRPr="00AB2663">
        <w:t xml:space="preserve">The TPPDEPP includes guidelines that ensure training products are designed with inclusivity in mind and do not unintentionally exclude learners based on protected </w:t>
      </w:r>
      <w:r>
        <w:t>attributes.</w:t>
      </w:r>
    </w:p>
    <w:p w:rsidR="00AB2663" w:rsidP="00B50114" w:rsidRDefault="00EF0D54" w14:paraId="3A418E5C" w14:textId="73772064">
      <w:r w:rsidRPr="00EF0D54">
        <w:lastRenderedPageBreak/>
        <w:t>The TPPDEPP requires training products to provide flexible pathways and accommodate reasonable adjustments for learners with disabilities or those from disadvantaged backgrounds.</w:t>
      </w:r>
    </w:p>
    <w:p w:rsidRPr="00653412" w:rsidR="00653412" w:rsidP="00B50114" w:rsidRDefault="00653412" w14:paraId="1CB29188" w14:textId="15B046A8">
      <w:pPr>
        <w:rPr>
          <w:b/>
          <w:bCs/>
        </w:rPr>
      </w:pPr>
      <w:r w:rsidRPr="00653412">
        <w:rPr>
          <w:b/>
          <w:bCs/>
        </w:rPr>
        <w:t>Training Product Submission Form</w:t>
      </w:r>
    </w:p>
    <w:p w:rsidR="00B40275" w:rsidP="00653412" w:rsidRDefault="00653412" w14:paraId="2B46FE80" w14:textId="03FE82F2">
      <w:pPr>
        <w:pStyle w:val="ListParagraph"/>
        <w:numPr>
          <w:ilvl w:val="0"/>
          <w:numId w:val="16"/>
        </w:numPr>
        <w:rPr>
          <w:b/>
          <w:bCs/>
        </w:rPr>
      </w:pPr>
      <w:r>
        <w:rPr>
          <w:b/>
          <w:bCs/>
        </w:rPr>
        <w:t xml:space="preserve">Relevant </w:t>
      </w:r>
      <w:r w:rsidRPr="00B50114">
        <w:rPr>
          <w:b/>
          <w:bCs/>
        </w:rPr>
        <w:t>Section</w:t>
      </w:r>
      <w:r w:rsidR="00D82FD0">
        <w:rPr>
          <w:b/>
          <w:bCs/>
        </w:rPr>
        <w:t>/</w:t>
      </w:r>
      <w:r>
        <w:rPr>
          <w:b/>
          <w:bCs/>
        </w:rPr>
        <w:t>s</w:t>
      </w:r>
      <w:r w:rsidRPr="00B50114">
        <w:rPr>
          <w:b/>
          <w:bCs/>
        </w:rPr>
        <w:t xml:space="preserve">: </w:t>
      </w:r>
    </w:p>
    <w:p w:rsidR="00653412" w:rsidP="00B40275" w:rsidRDefault="00B40275" w14:paraId="207A50AF" w14:textId="049A3745">
      <w:pPr>
        <w:pStyle w:val="ListParagraph"/>
        <w:numPr>
          <w:ilvl w:val="1"/>
          <w:numId w:val="16"/>
        </w:numPr>
        <w:rPr>
          <w:b/>
          <w:bCs/>
        </w:rPr>
      </w:pPr>
      <w:r>
        <w:t>5.2 – Vulnerable and Minority Cohorts</w:t>
      </w:r>
    </w:p>
    <w:p w:rsidR="00750FFC" w:rsidP="00750FFC" w:rsidRDefault="00750FFC" w14:paraId="5756237A" w14:textId="77777777">
      <w:r>
        <w:t>This section of the submission requires a description of how the consultation addressed the needs of vulnerable or minority cohorts. It should include women, people with disability, culturally and linguistically diverse communities, and First Nations people. This includes a description of how the method, location and timing of consultation activities supported engagement.</w:t>
      </w:r>
    </w:p>
    <w:p w:rsidRPr="00AB2663" w:rsidR="00653412" w:rsidP="00750FFC" w:rsidRDefault="00750FFC" w14:paraId="7C29438B" w14:textId="1E9BEE84">
      <w:r>
        <w:t>This section must be completed regardless of changes to the strategy over time.</w:t>
      </w:r>
    </w:p>
    <w:p w:rsidRPr="00433FD1" w:rsidR="00433FD1" w:rsidP="00433FD1" w:rsidRDefault="00433FD1" w14:paraId="7141DE27" w14:textId="1E3F713E">
      <w:pPr>
        <w:rPr>
          <w:b/>
          <w:bCs/>
        </w:rPr>
      </w:pPr>
      <w:r w:rsidRPr="00433FD1">
        <w:rPr>
          <w:b/>
          <w:bCs/>
        </w:rPr>
        <w:t>Disability Standards for Education 2005</w:t>
      </w:r>
    </w:p>
    <w:p w:rsidRPr="00433FD1" w:rsidR="00433FD1" w:rsidP="00433FD1" w:rsidRDefault="00433FD1" w14:paraId="06F4675F" w14:textId="58F90D6C">
      <w:r w:rsidRPr="00433FD1">
        <w:t xml:space="preserve">The Disability Standards for Education ensure that students with disabilities have the same access to education as students without disabilities. It covers areas such as enrolment, participation, curriculum development, student support services, and </w:t>
      </w:r>
      <w:r w:rsidR="00EB034C">
        <w:t>eliminating</w:t>
      </w:r>
      <w:r w:rsidRPr="00433FD1">
        <w:t xml:space="preserve"> harassment and </w:t>
      </w:r>
      <w:r w:rsidRPr="00433FD1" w:rsidR="00EB034C">
        <w:t>victimi</w:t>
      </w:r>
      <w:r w:rsidR="00EB034C">
        <w:t>s</w:t>
      </w:r>
      <w:r w:rsidRPr="00433FD1" w:rsidR="00EB034C">
        <w:t>ation</w:t>
      </w:r>
      <w:r w:rsidRPr="00433FD1">
        <w:t>.</w:t>
      </w:r>
    </w:p>
    <w:p w:rsidRPr="00433FD1" w:rsidR="00433FD1" w:rsidP="00B52CEF" w:rsidRDefault="00433FD1" w14:paraId="3220D45F" w14:textId="60043C20">
      <w:r>
        <w:t xml:space="preserve">Technical </w:t>
      </w:r>
      <w:r w:rsidR="00EB034C">
        <w:t>w</w:t>
      </w:r>
      <w:r>
        <w:t xml:space="preserve">riters </w:t>
      </w:r>
      <w:r w:rsidRPr="00433FD1">
        <w:t xml:space="preserve">must ensure that reasonable adjustments </w:t>
      </w:r>
      <w:r w:rsidR="002C2D7C">
        <w:t>are</w:t>
      </w:r>
      <w:r>
        <w:t xml:space="preserve"> considered in </w:t>
      </w:r>
      <w:r w:rsidR="00EB034C">
        <w:t>developing</w:t>
      </w:r>
      <w:r>
        <w:t xml:space="preserve"> training products</w:t>
      </w:r>
      <w:r w:rsidR="00125CA6">
        <w:t xml:space="preserve"> to suit the needs of </w:t>
      </w:r>
      <w:r w:rsidRPr="00433FD1">
        <w:t xml:space="preserve">learners with disabilities. This includes </w:t>
      </w:r>
      <w:r w:rsidR="008908A4">
        <w:t xml:space="preserve">ensuring assessment requirements are not overly descriptive so </w:t>
      </w:r>
      <w:r w:rsidR="00EB034C">
        <w:t>they</w:t>
      </w:r>
      <w:r w:rsidR="008908A4">
        <w:t xml:space="preserve"> can be </w:t>
      </w:r>
      <w:r w:rsidRPr="00433FD1">
        <w:t>adapt</w:t>
      </w:r>
      <w:r w:rsidR="008908A4">
        <w:t xml:space="preserve">ed for reasonable adjustment if required. </w:t>
      </w:r>
      <w:r w:rsidR="00174339">
        <w:t>They must also</w:t>
      </w:r>
      <w:r w:rsidR="008908A4">
        <w:t xml:space="preserve"> </w:t>
      </w:r>
      <w:r w:rsidRPr="00433FD1">
        <w:t>ensur</w:t>
      </w:r>
      <w:r w:rsidR="00174339">
        <w:t>e</w:t>
      </w:r>
      <w:r w:rsidRPr="00433FD1">
        <w:t xml:space="preserve"> the language used in </w:t>
      </w:r>
      <w:r w:rsidR="00174339">
        <w:t>training</w:t>
      </w:r>
      <w:r w:rsidRPr="00433FD1">
        <w:t xml:space="preserve"> products does not exclude learners with disabilities.</w:t>
      </w:r>
    </w:p>
    <w:p w:rsidR="00433FD1" w:rsidP="00433FD1" w:rsidRDefault="00433FD1" w14:paraId="3287EC08" w14:textId="77777777">
      <w:pPr>
        <w:rPr>
          <w:b/>
          <w:bCs/>
        </w:rPr>
      </w:pPr>
      <w:r w:rsidRPr="00433FD1">
        <w:rPr>
          <w:b/>
          <w:bCs/>
        </w:rPr>
        <w:t>Disability Discrimination Act 1992</w:t>
      </w:r>
    </w:p>
    <w:p w:rsidR="009B6091" w:rsidP="009B6091" w:rsidRDefault="009B6091" w14:paraId="683DF4ED" w14:textId="77777777">
      <w:pPr>
        <w:pStyle w:val="ListParagraph"/>
        <w:numPr>
          <w:ilvl w:val="0"/>
          <w:numId w:val="16"/>
        </w:numPr>
        <w:rPr>
          <w:b/>
          <w:bCs/>
        </w:rPr>
      </w:pPr>
      <w:r>
        <w:rPr>
          <w:b/>
          <w:bCs/>
        </w:rPr>
        <w:t xml:space="preserve">Relevant </w:t>
      </w:r>
      <w:r w:rsidRPr="00B50114">
        <w:rPr>
          <w:b/>
          <w:bCs/>
        </w:rPr>
        <w:t>Section</w:t>
      </w:r>
      <w:r>
        <w:rPr>
          <w:b/>
          <w:bCs/>
        </w:rPr>
        <w:t>/s</w:t>
      </w:r>
      <w:r w:rsidRPr="00B50114">
        <w:rPr>
          <w:b/>
          <w:bCs/>
        </w:rPr>
        <w:t xml:space="preserve">: </w:t>
      </w:r>
    </w:p>
    <w:p w:rsidRPr="009B6091" w:rsidR="009B6091" w:rsidP="009B6091" w:rsidRDefault="009B6091" w14:paraId="39DC0A71" w14:textId="34640634">
      <w:pPr>
        <w:pStyle w:val="ListParagraph"/>
        <w:numPr>
          <w:ilvl w:val="1"/>
          <w:numId w:val="16"/>
        </w:numPr>
      </w:pPr>
      <w:r w:rsidRPr="009B6091">
        <w:t>S4</w:t>
      </w:r>
    </w:p>
    <w:p w:rsidRPr="0096347B" w:rsidR="009B6091" w:rsidP="00433FD1" w:rsidRDefault="009B6091" w14:paraId="6E345215" w14:textId="7E44E182">
      <w:pPr>
        <w:pStyle w:val="ListParagraph"/>
        <w:numPr>
          <w:ilvl w:val="1"/>
          <w:numId w:val="16"/>
        </w:numPr>
      </w:pPr>
      <w:r w:rsidRPr="009B6091">
        <w:t>S5 and 6</w:t>
      </w:r>
    </w:p>
    <w:p w:rsidRPr="0096347B" w:rsidR="0096347B" w:rsidP="0096347B" w:rsidRDefault="00433FD1" w14:paraId="21C7D282" w14:textId="1D837237">
      <w:r w:rsidRPr="00433FD1">
        <w:t xml:space="preserve">The </w:t>
      </w:r>
      <w:r w:rsidRPr="005F1BFB">
        <w:rPr>
          <w:i/>
          <w:iCs/>
        </w:rPr>
        <w:t>Disability Discrimination Act (DDA)</w:t>
      </w:r>
      <w:r w:rsidRPr="00433FD1">
        <w:t xml:space="preserve"> makes it unlawful to discriminate against a person based on their disabilit</w:t>
      </w:r>
      <w:r w:rsidR="0096347B">
        <w:t xml:space="preserve">y. </w:t>
      </w:r>
      <w:r w:rsidRPr="0096347B" w:rsidR="0096347B">
        <w:t>Disability includes:</w:t>
      </w:r>
    </w:p>
    <w:p w:rsidRPr="0096347B" w:rsidR="0096347B" w:rsidP="0096347B" w:rsidRDefault="003B3192" w14:paraId="09E388BE" w14:textId="56C1729C">
      <w:pPr>
        <w:pStyle w:val="ListParagraph"/>
        <w:numPr>
          <w:ilvl w:val="0"/>
          <w:numId w:val="16"/>
        </w:numPr>
      </w:pPr>
      <w:r>
        <w:t>p</w:t>
      </w:r>
      <w:r w:rsidRPr="0096347B" w:rsidR="0096347B">
        <w:t>hysical</w:t>
      </w:r>
    </w:p>
    <w:p w:rsidRPr="0096347B" w:rsidR="0096347B" w:rsidP="0096347B" w:rsidRDefault="003B3192" w14:paraId="79018762" w14:textId="5656A137">
      <w:pPr>
        <w:pStyle w:val="ListParagraph"/>
        <w:numPr>
          <w:ilvl w:val="0"/>
          <w:numId w:val="16"/>
        </w:numPr>
      </w:pPr>
      <w:r>
        <w:t>i</w:t>
      </w:r>
      <w:r w:rsidRPr="0096347B" w:rsidR="0096347B">
        <w:t>ntellectual</w:t>
      </w:r>
    </w:p>
    <w:p w:rsidRPr="0096347B" w:rsidR="0096347B" w:rsidP="0096347B" w:rsidRDefault="003B3192" w14:paraId="4AB3BACE" w14:textId="54738CF3">
      <w:pPr>
        <w:pStyle w:val="ListParagraph"/>
        <w:numPr>
          <w:ilvl w:val="0"/>
          <w:numId w:val="16"/>
        </w:numPr>
      </w:pPr>
      <w:r>
        <w:t>p</w:t>
      </w:r>
      <w:r w:rsidRPr="0096347B" w:rsidR="0096347B">
        <w:t>sychiatric</w:t>
      </w:r>
    </w:p>
    <w:p w:rsidRPr="0096347B" w:rsidR="0096347B" w:rsidP="0096347B" w:rsidRDefault="003B3192" w14:paraId="6C124295" w14:textId="6FF33B8A">
      <w:pPr>
        <w:pStyle w:val="ListParagraph"/>
        <w:numPr>
          <w:ilvl w:val="0"/>
          <w:numId w:val="16"/>
        </w:numPr>
      </w:pPr>
      <w:r>
        <w:t>s</w:t>
      </w:r>
      <w:r w:rsidRPr="0096347B" w:rsidR="0096347B">
        <w:t>ensory</w:t>
      </w:r>
    </w:p>
    <w:p w:rsidRPr="0096347B" w:rsidR="0096347B" w:rsidP="0096347B" w:rsidRDefault="003B3192" w14:paraId="13912E7D" w14:textId="6140013C">
      <w:pPr>
        <w:pStyle w:val="ListParagraph"/>
        <w:numPr>
          <w:ilvl w:val="0"/>
          <w:numId w:val="16"/>
        </w:numPr>
      </w:pPr>
      <w:r>
        <w:t>n</w:t>
      </w:r>
      <w:r w:rsidRPr="0096347B" w:rsidR="0096347B">
        <w:t>eurological, and</w:t>
      </w:r>
    </w:p>
    <w:p w:rsidRPr="0096347B" w:rsidR="0096347B" w:rsidP="0096347B" w:rsidRDefault="003B3192" w14:paraId="43B13B84" w14:textId="6F7C4E69">
      <w:pPr>
        <w:pStyle w:val="ListParagraph"/>
        <w:numPr>
          <w:ilvl w:val="0"/>
          <w:numId w:val="16"/>
        </w:numPr>
      </w:pPr>
      <w:r>
        <w:t>l</w:t>
      </w:r>
      <w:r w:rsidRPr="0096347B" w:rsidR="0096347B">
        <w:t xml:space="preserve">earning disabilities, as well as </w:t>
      </w:r>
    </w:p>
    <w:p w:rsidRPr="0096347B" w:rsidR="0096347B" w:rsidP="0096347B" w:rsidRDefault="003B3192" w14:paraId="01450316" w14:textId="5B946E5C">
      <w:pPr>
        <w:pStyle w:val="ListParagraph"/>
        <w:numPr>
          <w:ilvl w:val="0"/>
          <w:numId w:val="16"/>
        </w:numPr>
      </w:pPr>
      <w:r>
        <w:t>p</w:t>
      </w:r>
      <w:r w:rsidRPr="0096347B" w:rsidR="0096347B">
        <w:t xml:space="preserve">hysical </w:t>
      </w:r>
      <w:r w:rsidR="00831ED4">
        <w:t xml:space="preserve">difference </w:t>
      </w:r>
      <w:r w:rsidRPr="00831ED4" w:rsidR="00831ED4">
        <w:t>(facial/limb/physical difference)</w:t>
      </w:r>
    </w:p>
    <w:p w:rsidRPr="00383C84" w:rsidR="00383C84" w:rsidP="00383C84" w:rsidRDefault="00383C84" w14:paraId="1FB493D8" w14:textId="3471823E">
      <w:r w:rsidRPr="00383C84">
        <w:lastRenderedPageBreak/>
        <w:t xml:space="preserve">The sections </w:t>
      </w:r>
      <w:r w:rsidR="00F0748F">
        <w:t xml:space="preserve">identified </w:t>
      </w:r>
      <w:r w:rsidRPr="00383C84">
        <w:t xml:space="preserve">set out the types of conduct that will constitute direct and indirect disability discrimination. Direct disability discrimination is when a person with disability is treated less favourably than a person without disability </w:t>
      </w:r>
    </w:p>
    <w:p w:rsidRPr="00383C84" w:rsidR="00383C84" w:rsidP="00383C84" w:rsidRDefault="00383C84" w14:paraId="6D987EA3" w14:textId="019E608A">
      <w:pPr>
        <w:pStyle w:val="ListParagraph"/>
        <w:numPr>
          <w:ilvl w:val="0"/>
          <w:numId w:val="18"/>
        </w:numPr>
      </w:pPr>
      <w:r w:rsidRPr="00383C84">
        <w:t xml:space="preserve">because of the disability and </w:t>
      </w:r>
    </w:p>
    <w:p w:rsidRPr="00383C84" w:rsidR="00383C84" w:rsidP="00383C84" w:rsidRDefault="00383C84" w14:paraId="0E3F23C3" w14:textId="77777777">
      <w:pPr>
        <w:pStyle w:val="ListParagraph"/>
        <w:numPr>
          <w:ilvl w:val="0"/>
          <w:numId w:val="18"/>
        </w:numPr>
      </w:pPr>
      <w:r w:rsidRPr="00383C84">
        <w:t>in circumstances that are not materially different.</w:t>
      </w:r>
    </w:p>
    <w:p w:rsidRPr="00383C84" w:rsidR="00383C84" w:rsidP="00383C84" w:rsidRDefault="00383C84" w14:paraId="274B9C93" w14:textId="77777777">
      <w:r w:rsidRPr="00383C84">
        <w:t xml:space="preserve">Indirect disability discrimination occurs when a person with disability: </w:t>
      </w:r>
    </w:p>
    <w:p w:rsidRPr="00383C84" w:rsidR="00383C84" w:rsidP="00383C84" w:rsidRDefault="00383C84" w14:paraId="1AC277BD" w14:textId="1EA86583">
      <w:pPr>
        <w:pStyle w:val="ListParagraph"/>
        <w:numPr>
          <w:ilvl w:val="0"/>
          <w:numId w:val="19"/>
        </w:numPr>
      </w:pPr>
      <w:r w:rsidRPr="00383C84">
        <w:t xml:space="preserve">is required to </w:t>
      </w:r>
      <w:r w:rsidR="00994D51">
        <w:t>meet</w:t>
      </w:r>
      <w:r w:rsidRPr="00383C84">
        <w:t xml:space="preserve"> a requirement or condition</w:t>
      </w:r>
      <w:r w:rsidR="00994D51">
        <w:t>,</w:t>
      </w:r>
      <w:r w:rsidRPr="00383C84">
        <w:t xml:space="preserve"> but they cannot </w:t>
      </w:r>
      <w:r w:rsidR="00994D51">
        <w:t>do</w:t>
      </w:r>
      <w:r w:rsidRPr="00383C84" w:rsidR="00994D51">
        <w:t xml:space="preserve"> </w:t>
      </w:r>
      <w:r w:rsidR="00994D51">
        <w:t>so du</w:t>
      </w:r>
      <w:r w:rsidRPr="00383C84" w:rsidR="00994D51">
        <w:t xml:space="preserve">e </w:t>
      </w:r>
      <w:r w:rsidR="00994D51">
        <w:t>to</w:t>
      </w:r>
      <w:r w:rsidRPr="00383C84" w:rsidR="00994D51">
        <w:t xml:space="preserve"> </w:t>
      </w:r>
      <w:r w:rsidRPr="00383C84">
        <w:t xml:space="preserve">their disability, and </w:t>
      </w:r>
    </w:p>
    <w:p w:rsidRPr="00383C84" w:rsidR="00383C84" w:rsidP="00383C84" w:rsidRDefault="00D358FA" w14:paraId="31785A50" w14:textId="0A43230A">
      <w:pPr>
        <w:pStyle w:val="ListParagraph"/>
        <w:numPr>
          <w:ilvl w:val="0"/>
          <w:numId w:val="19"/>
        </w:numPr>
      </w:pPr>
      <w:r>
        <w:t>t</w:t>
      </w:r>
      <w:r w:rsidRPr="00383C84" w:rsidR="00383C84">
        <w:t>h</w:t>
      </w:r>
      <w:r w:rsidR="00994D51">
        <w:t>e</w:t>
      </w:r>
      <w:r w:rsidRPr="00383C84" w:rsidR="00383C84">
        <w:t xml:space="preserve"> requirement or condition is </w:t>
      </w:r>
      <w:r>
        <w:t>un</w:t>
      </w:r>
      <w:r w:rsidRPr="00383C84" w:rsidR="00383C84">
        <w:t xml:space="preserve">reasonable </w:t>
      </w:r>
      <w:r>
        <w:t>give</w:t>
      </w:r>
      <w:r w:rsidRPr="00383C84">
        <w:t xml:space="preserve">n </w:t>
      </w:r>
      <w:r w:rsidRPr="00383C84" w:rsidR="00383C84">
        <w:t>the circumstances</w:t>
      </w:r>
      <w:r>
        <w:t>.</w:t>
      </w:r>
    </w:p>
    <w:p w:rsidR="00383C84" w:rsidP="00383C84" w:rsidRDefault="00994D51" w14:paraId="065A31E9" w14:textId="4CA3EAEF">
      <w:pPr>
        <w:pStyle w:val="ListParagraph"/>
        <w:numPr>
          <w:ilvl w:val="0"/>
          <w:numId w:val="19"/>
        </w:numPr>
      </w:pPr>
      <w:r>
        <w:t>there has been a</w:t>
      </w:r>
      <w:r w:rsidRPr="00383C84">
        <w:t xml:space="preserve"> </w:t>
      </w:r>
      <w:r w:rsidRPr="00383C84" w:rsidR="00383C84">
        <w:t>failure to make reasonable adjustments to assist the person with disability to meet requirements or conditions</w:t>
      </w:r>
    </w:p>
    <w:p w:rsidRPr="00433FD1" w:rsidR="00433FD1" w:rsidP="00383C84" w:rsidRDefault="00433FD1" w14:paraId="1D456CFA" w14:textId="1867C11A">
      <w:r w:rsidRPr="00433FD1">
        <w:t>All training products should be accessible to learners with disabilities</w:t>
      </w:r>
      <w:r w:rsidR="00B52CEF">
        <w:t xml:space="preserve">. </w:t>
      </w:r>
      <w:r w:rsidRPr="00433FD1">
        <w:t xml:space="preserve">Reasonable adjustments must be considered </w:t>
      </w:r>
      <w:r w:rsidR="00B52CEF">
        <w:t xml:space="preserve">when developing training products </w:t>
      </w:r>
      <w:r w:rsidRPr="00433FD1">
        <w:t>to ensure learners with disabilities are not disadvantaged during the learning process.</w:t>
      </w:r>
    </w:p>
    <w:p w:rsidR="00433FD1" w:rsidP="00433FD1" w:rsidRDefault="00433FD1" w14:paraId="0B727AAE" w14:textId="77777777">
      <w:pPr>
        <w:rPr>
          <w:b/>
          <w:bCs/>
        </w:rPr>
      </w:pPr>
      <w:r w:rsidRPr="00433FD1">
        <w:rPr>
          <w:b/>
          <w:bCs/>
        </w:rPr>
        <w:t>Age Discrimination Act 2004</w:t>
      </w:r>
    </w:p>
    <w:p w:rsidR="004D2BCA" w:rsidP="004D2BCA" w:rsidRDefault="004D2BCA" w14:paraId="5EA9169A" w14:textId="77777777">
      <w:pPr>
        <w:pStyle w:val="ListParagraph"/>
        <w:numPr>
          <w:ilvl w:val="0"/>
          <w:numId w:val="16"/>
        </w:numPr>
        <w:rPr>
          <w:b/>
          <w:bCs/>
        </w:rPr>
      </w:pPr>
      <w:r>
        <w:rPr>
          <w:b/>
          <w:bCs/>
        </w:rPr>
        <w:t xml:space="preserve">Relevant </w:t>
      </w:r>
      <w:r w:rsidRPr="00B50114">
        <w:rPr>
          <w:b/>
          <w:bCs/>
        </w:rPr>
        <w:t>Section</w:t>
      </w:r>
      <w:r>
        <w:rPr>
          <w:b/>
          <w:bCs/>
        </w:rPr>
        <w:t>/s</w:t>
      </w:r>
      <w:r w:rsidRPr="00B50114">
        <w:rPr>
          <w:b/>
          <w:bCs/>
        </w:rPr>
        <w:t xml:space="preserve">: </w:t>
      </w:r>
    </w:p>
    <w:p w:rsidRPr="004A57B6" w:rsidR="00C11B72" w:rsidP="004A57B6" w:rsidRDefault="00C11B72" w14:paraId="55C4DC45" w14:textId="77777777">
      <w:pPr>
        <w:pStyle w:val="ListParagraph"/>
        <w:numPr>
          <w:ilvl w:val="1"/>
          <w:numId w:val="16"/>
        </w:numPr>
      </w:pPr>
      <w:r w:rsidRPr="004A57B6">
        <w:t>Part 1 – Preliminary.  S4. Simplified outline</w:t>
      </w:r>
    </w:p>
    <w:p w:rsidR="00C11B72" w:rsidP="004A57B6" w:rsidRDefault="004A57B6" w14:paraId="32E52F75" w14:textId="603C3257">
      <w:pPr>
        <w:pStyle w:val="ListParagraph"/>
        <w:numPr>
          <w:ilvl w:val="1"/>
          <w:numId w:val="16"/>
        </w:numPr>
        <w:rPr>
          <w:b/>
          <w:bCs/>
        </w:rPr>
      </w:pPr>
      <w:r>
        <w:t>Part 4 – Unlawful age discrimination etc.   S.26 Education</w:t>
      </w:r>
    </w:p>
    <w:p w:rsidRPr="00EC2973" w:rsidR="00EC2973" w:rsidP="00701A7C" w:rsidRDefault="00433FD1" w14:paraId="54492E50" w14:textId="31BB789C">
      <w:r w:rsidRPr="00433FD1">
        <w:t xml:space="preserve">The </w:t>
      </w:r>
      <w:r w:rsidRPr="005F1BFB">
        <w:rPr>
          <w:i/>
          <w:iCs/>
        </w:rPr>
        <w:t>Age Discrimination Act</w:t>
      </w:r>
      <w:r w:rsidRPr="00433FD1">
        <w:t xml:space="preserve"> protects individuals from discrimination based on their age</w:t>
      </w:r>
      <w:r w:rsidR="00A70498">
        <w:t>.</w:t>
      </w:r>
      <w:r w:rsidR="00701A7C">
        <w:t xml:space="preserve"> </w:t>
      </w:r>
      <w:r w:rsidRPr="00EC2973" w:rsidR="00EC2973">
        <w:t>It is unlawful to discriminate against a person on the ground</w:t>
      </w:r>
      <w:r w:rsidR="00EF21D6">
        <w:t>s</w:t>
      </w:r>
      <w:r w:rsidRPr="00EC2973" w:rsidR="00EC2973">
        <w:t xml:space="preserve"> of the person’s age:</w:t>
      </w:r>
    </w:p>
    <w:p w:rsidRPr="00EC2973" w:rsidR="00EC2973" w:rsidP="00EC2973" w:rsidRDefault="00EB1821" w14:paraId="16829D9D" w14:textId="4778A46C">
      <w:pPr>
        <w:pStyle w:val="SITablebullet1"/>
        <w:rPr>
          <w:rFonts w:asciiTheme="minorHAnsi" w:hAnsiTheme="minorHAnsi"/>
          <w:color w:val="auto"/>
          <w:kern w:val="2"/>
          <w:sz w:val="24"/>
          <w:szCs w:val="24"/>
          <w14:ligatures w14:val="standardContextual"/>
        </w:rPr>
      </w:pPr>
      <w:r>
        <w:rPr>
          <w:rFonts w:asciiTheme="minorHAnsi" w:hAnsiTheme="minorHAnsi"/>
          <w:color w:val="auto"/>
          <w:kern w:val="2"/>
          <w:sz w:val="24"/>
          <w:szCs w:val="24"/>
          <w14:ligatures w14:val="standardContextual"/>
        </w:rPr>
        <w:t>b</w:t>
      </w:r>
      <w:r w:rsidRPr="00EC2973" w:rsidR="00EC2973">
        <w:rPr>
          <w:rFonts w:asciiTheme="minorHAnsi" w:hAnsiTheme="minorHAnsi"/>
          <w:color w:val="auto"/>
          <w:kern w:val="2"/>
          <w:sz w:val="24"/>
          <w:szCs w:val="24"/>
          <w14:ligatures w14:val="standardContextual"/>
        </w:rPr>
        <w:t>y refusing to accept the person’s application as a student</w:t>
      </w:r>
    </w:p>
    <w:p w:rsidRPr="00EC2973" w:rsidR="00EC2973" w:rsidP="00EC2973" w:rsidRDefault="00EB1821" w14:paraId="2BE54EC0" w14:textId="4DA22060">
      <w:pPr>
        <w:pStyle w:val="SITablebullet1"/>
        <w:rPr>
          <w:rFonts w:asciiTheme="minorHAnsi" w:hAnsiTheme="minorHAnsi"/>
          <w:color w:val="auto"/>
          <w:kern w:val="2"/>
          <w:sz w:val="24"/>
          <w:szCs w:val="24"/>
          <w14:ligatures w14:val="standardContextual"/>
        </w:rPr>
      </w:pPr>
      <w:r>
        <w:rPr>
          <w:rFonts w:asciiTheme="minorHAnsi" w:hAnsiTheme="minorHAnsi"/>
          <w:color w:val="auto"/>
          <w:kern w:val="2"/>
          <w:sz w:val="24"/>
          <w:szCs w:val="24"/>
          <w14:ligatures w14:val="standardContextual"/>
        </w:rPr>
        <w:t>b</w:t>
      </w:r>
      <w:r w:rsidRPr="00EC2973" w:rsidR="00EC2973">
        <w:rPr>
          <w:rFonts w:asciiTheme="minorHAnsi" w:hAnsiTheme="minorHAnsi"/>
          <w:color w:val="auto"/>
          <w:kern w:val="2"/>
          <w:sz w:val="24"/>
          <w:szCs w:val="24"/>
          <w14:ligatures w14:val="standardContextual"/>
        </w:rPr>
        <w:t>y denying the person access to any benefit provided by the educational authority (the body administering an educational institution)</w:t>
      </w:r>
    </w:p>
    <w:p w:rsidR="00433FD1" w:rsidP="004D2BCA" w:rsidRDefault="00433FD1" w14:paraId="41B17CCE" w14:textId="02EFC9BC">
      <w:r w:rsidRPr="00433FD1">
        <w:t>Training products should be designed to accommodate learners of all ages. This includes ensuring that assessment</w:t>
      </w:r>
      <w:r w:rsidR="002D7A07">
        <w:t xml:space="preserve"> requirements</w:t>
      </w:r>
      <w:r w:rsidRPr="00433FD1">
        <w:t xml:space="preserve"> are accessible to both younger and older learners, avoiding unnecessary age-based prerequisites, and offering flexible learning options that suit a variety of age groups.</w:t>
      </w:r>
    </w:p>
    <w:p w:rsidRPr="00EC2973" w:rsidR="00EC2973" w:rsidP="00EC2973" w:rsidRDefault="00EC2973" w14:paraId="3DB64347" w14:textId="77777777">
      <w:pPr>
        <w:pStyle w:val="SITableBody"/>
        <w:rPr>
          <w:rFonts w:asciiTheme="minorHAnsi" w:hAnsiTheme="minorHAnsi"/>
          <w:color w:val="auto"/>
          <w:kern w:val="2"/>
          <w:sz w:val="24"/>
          <w:szCs w:val="24"/>
          <w14:ligatures w14:val="standardContextual"/>
        </w:rPr>
      </w:pPr>
      <w:r w:rsidRPr="00EC2973">
        <w:rPr>
          <w:rFonts w:asciiTheme="minorHAnsi" w:hAnsiTheme="minorHAnsi"/>
          <w:color w:val="auto"/>
          <w:kern w:val="2"/>
          <w:sz w:val="24"/>
          <w:szCs w:val="24"/>
          <w14:ligatures w14:val="standardContextual"/>
        </w:rPr>
        <w:t>Direct discrimination – treating a person less favourably in situations where age should not be considered</w:t>
      </w:r>
    </w:p>
    <w:p w:rsidRPr="00EC2973" w:rsidR="00EC2973" w:rsidP="00EC2973" w:rsidRDefault="00EC2973" w14:paraId="143FE15F" w14:textId="77777777">
      <w:pPr>
        <w:pStyle w:val="SITableBody"/>
        <w:rPr>
          <w:rFonts w:asciiTheme="minorHAnsi" w:hAnsiTheme="minorHAnsi"/>
          <w:color w:val="auto"/>
          <w:kern w:val="2"/>
          <w:sz w:val="24"/>
          <w:szCs w:val="24"/>
          <w14:ligatures w14:val="standardContextual"/>
        </w:rPr>
      </w:pPr>
      <w:r w:rsidRPr="00EC2973">
        <w:rPr>
          <w:rFonts w:asciiTheme="minorHAnsi" w:hAnsiTheme="minorHAnsi"/>
          <w:color w:val="auto"/>
          <w:kern w:val="2"/>
          <w:sz w:val="24"/>
          <w:szCs w:val="24"/>
          <w14:ligatures w14:val="standardContextual"/>
        </w:rPr>
        <w:t>Indirect discrimination – imposing a condition, requirement or practice which is unreasonable and likely to disadvantage</w:t>
      </w:r>
    </w:p>
    <w:p w:rsidRPr="00433FD1" w:rsidR="00EC2973" w:rsidP="00EC2973" w:rsidRDefault="00F231B2" w14:paraId="3A4D2CA3" w14:textId="03842753">
      <w:r w:rsidRPr="00F231B2">
        <w:t xml:space="preserve">Age Discrimination Act 2004 </w:t>
      </w:r>
      <w:r w:rsidR="00EC2973">
        <w:t>Schedule 1 Laws for which an exemption is provided -</w:t>
      </w:r>
      <w:r w:rsidRPr="009258AC" w:rsidR="00EC2973">
        <w:t>https://www.austlii.edu.au/cgi-bin/viewdoc/au/legis/cth/consol_act/ada2004174/sch1.html</w:t>
      </w:r>
    </w:p>
    <w:p w:rsidR="00433FD1" w:rsidP="00433FD1" w:rsidRDefault="00433FD1" w14:paraId="510DD23C" w14:textId="77777777">
      <w:pPr>
        <w:rPr>
          <w:b/>
          <w:bCs/>
        </w:rPr>
      </w:pPr>
      <w:r w:rsidRPr="00433FD1">
        <w:rPr>
          <w:b/>
          <w:bCs/>
        </w:rPr>
        <w:lastRenderedPageBreak/>
        <w:t>Sex Discrimination Act 1984</w:t>
      </w:r>
    </w:p>
    <w:p w:rsidR="006C7B4C" w:rsidP="006C7B4C" w:rsidRDefault="006C7B4C" w14:paraId="2862E4A6" w14:textId="77777777">
      <w:pPr>
        <w:pStyle w:val="ListParagraph"/>
        <w:numPr>
          <w:ilvl w:val="0"/>
          <w:numId w:val="16"/>
        </w:numPr>
        <w:rPr>
          <w:b/>
          <w:bCs/>
        </w:rPr>
      </w:pPr>
      <w:r>
        <w:rPr>
          <w:b/>
          <w:bCs/>
        </w:rPr>
        <w:t xml:space="preserve">Relevant </w:t>
      </w:r>
      <w:r w:rsidRPr="00B50114">
        <w:rPr>
          <w:b/>
          <w:bCs/>
        </w:rPr>
        <w:t>Section</w:t>
      </w:r>
      <w:r>
        <w:rPr>
          <w:b/>
          <w:bCs/>
        </w:rPr>
        <w:t>/s</w:t>
      </w:r>
      <w:r w:rsidRPr="00B50114">
        <w:rPr>
          <w:b/>
          <w:bCs/>
        </w:rPr>
        <w:t xml:space="preserve">: </w:t>
      </w:r>
    </w:p>
    <w:p w:rsidRPr="006C7B4C" w:rsidR="006C7B4C" w:rsidP="00433FD1" w:rsidRDefault="006C7B4C" w14:paraId="1711FEA6" w14:textId="00F2B134">
      <w:pPr>
        <w:pStyle w:val="ListParagraph"/>
        <w:numPr>
          <w:ilvl w:val="1"/>
          <w:numId w:val="16"/>
        </w:numPr>
      </w:pPr>
      <w:r w:rsidRPr="006C7B4C">
        <w:t>S</w:t>
      </w:r>
      <w:r w:rsidR="00F23927">
        <w:t xml:space="preserve"> </w:t>
      </w:r>
      <w:r w:rsidRPr="006C7B4C">
        <w:t>5, 6 and 7</w:t>
      </w:r>
    </w:p>
    <w:p w:rsidRPr="00B66054" w:rsidR="00F23927" w:rsidP="00F23927" w:rsidRDefault="00F23927" w14:paraId="0E208411" w14:textId="5C5ABE5E">
      <w:r w:rsidRPr="00B66054">
        <w:t xml:space="preserve">The </w:t>
      </w:r>
      <w:r w:rsidRPr="005F1BFB">
        <w:rPr>
          <w:i/>
          <w:iCs/>
        </w:rPr>
        <w:t>Sex Discrimination Act 1984</w:t>
      </w:r>
      <w:r w:rsidRPr="00B66054">
        <w:t xml:space="preserve"> (</w:t>
      </w:r>
      <w:proofErr w:type="spellStart"/>
      <w:r w:rsidRPr="00B66054">
        <w:t>Cth</w:t>
      </w:r>
      <w:proofErr w:type="spellEnd"/>
      <w:r w:rsidRPr="00B66054">
        <w:t>) (‘SDA’) covers discrimination on the ground</w:t>
      </w:r>
      <w:r w:rsidR="00E267C4">
        <w:t>s</w:t>
      </w:r>
      <w:r w:rsidRPr="00B66054">
        <w:t xml:space="preserve"> of:</w:t>
      </w:r>
    </w:p>
    <w:p w:rsidR="00F23927" w:rsidP="00F23927" w:rsidRDefault="00F23927" w14:paraId="1077426A" w14:textId="77777777">
      <w:pPr>
        <w:pStyle w:val="ListParagraph"/>
        <w:numPr>
          <w:ilvl w:val="0"/>
          <w:numId w:val="16"/>
        </w:numPr>
      </w:pPr>
      <w:r>
        <w:t>sex (defined in s 5</w:t>
      </w:r>
      <w:proofErr w:type="gramStart"/>
      <w:r>
        <w:t>);</w:t>
      </w:r>
      <w:proofErr w:type="gramEnd"/>
    </w:p>
    <w:p w:rsidR="00F23927" w:rsidP="00F23927" w:rsidRDefault="00F23927" w14:paraId="4A3BA5DD" w14:textId="77777777">
      <w:pPr>
        <w:pStyle w:val="ListParagraph"/>
        <w:numPr>
          <w:ilvl w:val="0"/>
          <w:numId w:val="16"/>
        </w:numPr>
      </w:pPr>
      <w:r>
        <w:t>marital status (defined in s 6</w:t>
      </w:r>
      <w:proofErr w:type="gramStart"/>
      <w:r>
        <w:t>);</w:t>
      </w:r>
      <w:proofErr w:type="gramEnd"/>
    </w:p>
    <w:p w:rsidR="00F23927" w:rsidP="00F23927" w:rsidRDefault="00F23927" w14:paraId="6D56E274" w14:textId="77777777">
      <w:pPr>
        <w:pStyle w:val="ListParagraph"/>
        <w:numPr>
          <w:ilvl w:val="0"/>
          <w:numId w:val="16"/>
        </w:numPr>
      </w:pPr>
      <w:r>
        <w:t>pregnancy or potential pregnancy (defined in s 7); and</w:t>
      </w:r>
    </w:p>
    <w:p w:rsidRPr="00433FD1" w:rsidR="00433FD1" w:rsidP="00F23927" w:rsidRDefault="00F23927" w14:paraId="1A473B1D" w14:textId="1A567B72">
      <w:pPr>
        <w:pStyle w:val="ListParagraph"/>
        <w:numPr>
          <w:ilvl w:val="0"/>
          <w:numId w:val="16"/>
        </w:numPr>
      </w:pPr>
      <w:r>
        <w:t>family responsibilities (defined in s 7A)</w:t>
      </w:r>
    </w:p>
    <w:p w:rsidRPr="00433FD1" w:rsidR="00433FD1" w:rsidP="00B52CEF" w:rsidRDefault="00433FD1" w14:paraId="39B38FEB" w14:textId="7F99C40E">
      <w:r w:rsidRPr="00433FD1">
        <w:t xml:space="preserve">Training products must </w:t>
      </w:r>
      <w:r w:rsidR="002226AE">
        <w:t>us</w:t>
      </w:r>
      <w:r w:rsidRPr="00433FD1">
        <w:t>e gender-neutral language and inclusive terminology. This includes e</w:t>
      </w:r>
      <w:r w:rsidR="002226AE">
        <w:t>liminating</w:t>
      </w:r>
      <w:r w:rsidRPr="00433FD1">
        <w:t xml:space="preserve"> gender biases a</w:t>
      </w:r>
      <w:r w:rsidR="002226AE">
        <w:t>nd</w:t>
      </w:r>
      <w:r w:rsidRPr="00433FD1">
        <w:t xml:space="preserve"> e</w:t>
      </w:r>
      <w:r w:rsidR="002226AE">
        <w:t>nsuring</w:t>
      </w:r>
      <w:r w:rsidRPr="00433FD1">
        <w:t xml:space="preserve"> that both men and women </w:t>
      </w:r>
      <w:r w:rsidR="009C33F1">
        <w:t xml:space="preserve">are included and </w:t>
      </w:r>
      <w:r w:rsidRPr="00433FD1">
        <w:t>have equal access to all learning opportunities.</w:t>
      </w:r>
    </w:p>
    <w:p w:rsidRPr="00433FD1" w:rsidR="00433FD1" w:rsidP="00433FD1" w:rsidRDefault="00433FD1" w14:paraId="38A4EFAE" w14:textId="77777777">
      <w:pPr>
        <w:rPr>
          <w:b/>
          <w:bCs/>
        </w:rPr>
      </w:pPr>
      <w:r w:rsidRPr="00433FD1">
        <w:rPr>
          <w:b/>
          <w:bCs/>
        </w:rPr>
        <w:t>Racial Discrimination Act 1975</w:t>
      </w:r>
    </w:p>
    <w:p w:rsidR="00433FD1" w:rsidP="00433FD1" w:rsidRDefault="00433FD1" w14:paraId="2A8BC0BA" w14:textId="4903572E">
      <w:r w:rsidRPr="005F1BFB">
        <w:rPr>
          <w:i/>
          <w:iCs/>
        </w:rPr>
        <w:t>The Racial Discrimination Act</w:t>
      </w:r>
      <w:r w:rsidRPr="00433FD1">
        <w:t xml:space="preserve"> makes it unlawful to discriminate against someone based on their race, colo</w:t>
      </w:r>
      <w:r w:rsidR="009C33F1">
        <w:t>u</w:t>
      </w:r>
      <w:r w:rsidRPr="00433FD1">
        <w:t>r, descent, national or ethnic origin</w:t>
      </w:r>
      <w:r w:rsidR="00CE4788">
        <w:t>, or immigrant status.</w:t>
      </w:r>
    </w:p>
    <w:p w:rsidRPr="008F184A" w:rsidR="008F184A" w:rsidP="008F184A" w:rsidRDefault="008F184A" w14:paraId="6F7FA190" w14:textId="77777777">
      <w:r w:rsidRPr="008F184A">
        <w:t>Direct discrimination happens when a person is treated less favourably than another person in a similar situation because of his or her race, colour, descent, national or ethnic origin or immigrant status.</w:t>
      </w:r>
    </w:p>
    <w:p w:rsidRPr="00433FD1" w:rsidR="008F184A" w:rsidP="008F184A" w:rsidRDefault="008F184A" w14:paraId="4445F250" w14:textId="253D52B4">
      <w:r w:rsidRPr="008F184A">
        <w:t xml:space="preserve">Indirect discrimination can happen when employers or service providers put in place conditions, requirements or practices </w:t>
      </w:r>
      <w:r w:rsidR="004317E8">
        <w:t>that</w:t>
      </w:r>
      <w:r w:rsidRPr="008F184A">
        <w:t xml:space="preserve"> appear to treat everyone the same but disadvantage some people because of their race, colour, descent, national or ethnic origin or immigrant status. If the requirement is not reasonable regarding the</w:t>
      </w:r>
      <w:r w:rsidR="0006748E">
        <w:t xml:space="preserve"> </w:t>
      </w:r>
      <w:r w:rsidRPr="00BF1BE2" w:rsidR="0006748E">
        <w:t>circumstances of the case, it could be indirect discrimination.</w:t>
      </w:r>
    </w:p>
    <w:p w:rsidRPr="00433FD1" w:rsidR="00433FD1" w:rsidP="00CE4788" w:rsidRDefault="00433FD1" w14:paraId="4E6D633B" w14:textId="0FD43189">
      <w:r w:rsidRPr="00433FD1">
        <w:t>Training products should avoid racial or ethnic biases. This includes ensuring that the language used i</w:t>
      </w:r>
      <w:r w:rsidR="004317E8">
        <w:t>ncludes</w:t>
      </w:r>
      <w:r w:rsidRPr="00433FD1">
        <w:t xml:space="preserve"> all racial and ethnic groups and that assessments and course content do not unintentionally favo</w:t>
      </w:r>
      <w:r w:rsidR="003D0C11">
        <w:t>u</w:t>
      </w:r>
      <w:r w:rsidRPr="00433FD1">
        <w:t>r one group.</w:t>
      </w:r>
    </w:p>
    <w:p w:rsidRPr="00433FD1" w:rsidR="00433FD1" w:rsidP="00433FD1" w:rsidRDefault="00433FD1" w14:paraId="5584A919" w14:textId="77777777">
      <w:pPr>
        <w:rPr>
          <w:b/>
          <w:bCs/>
        </w:rPr>
      </w:pPr>
      <w:r w:rsidRPr="00433FD1">
        <w:rPr>
          <w:b/>
          <w:bCs/>
        </w:rPr>
        <w:t>Other Relevant State or Federal Anti-Discrimination Legislation</w:t>
      </w:r>
    </w:p>
    <w:p w:rsidRPr="00433FD1" w:rsidR="00433FD1" w:rsidP="00433FD1" w:rsidRDefault="00433FD1" w14:paraId="5D57F5AD" w14:textId="0A39447C">
      <w:r w:rsidRPr="00433FD1">
        <w:t xml:space="preserve">In addition to the above federal laws, state or territory-specific anti-discrimination laws </w:t>
      </w:r>
      <w:r w:rsidR="00775FAC">
        <w:t>may</w:t>
      </w:r>
      <w:r w:rsidRPr="00433FD1">
        <w:t xml:space="preserve"> apply to the development of training products. These laws often cover additional grounds, such as religious discrimination or political affiliation.</w:t>
      </w:r>
    </w:p>
    <w:p w:rsidRPr="00433FD1" w:rsidR="00433FD1" w:rsidP="002C2D7C" w:rsidRDefault="00433FD1" w14:paraId="1278E6A3" w14:textId="2715D9D0">
      <w:r w:rsidRPr="00433FD1">
        <w:t>Ensure that training products comply with any additional anti-discrimination laws</w:t>
      </w:r>
      <w:r w:rsidR="00203DB6">
        <w:t xml:space="preserve">. </w:t>
      </w:r>
      <w:r w:rsidRPr="00433FD1">
        <w:t>This may include making reasonable accommodations for learners based on religious or political beliefs.</w:t>
      </w:r>
    </w:p>
    <w:p w:rsidRPr="00E55C20" w:rsidR="00173ADF" w:rsidP="00173ADF" w:rsidRDefault="00173ADF" w14:paraId="1157C905" w14:textId="77777777"/>
    <w:sectPr w:rsidRPr="00E55C20" w:rsidR="00173ADF">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F" w:author="Cristina Ferrari" w:date="2025-08-13T16:50:00Z" w:id="0">
    <w:p w:rsidR="00282D90" w:rsidP="00282D90" w:rsidRDefault="00282D90" w14:paraId="290F127F" w14:textId="45DC93E7">
      <w:r>
        <w:rPr>
          <w:rStyle w:val="CommentReference"/>
        </w:rPr>
        <w:annotationRef/>
      </w:r>
      <w:r>
        <w:rPr>
          <w:sz w:val="20"/>
          <w:szCs w:val="20"/>
        </w:rPr>
        <w:fldChar w:fldCharType="begin"/>
      </w:r>
      <w:r>
        <w:rPr>
          <w:sz w:val="20"/>
          <w:szCs w:val="20"/>
        </w:rPr>
        <w:instrText>HYPERLINK "mailto:Sandra.Wesselink@humanability.com.au"</w:instrText>
      </w:r>
      <w:r>
        <w:rPr>
          <w:sz w:val="20"/>
          <w:szCs w:val="20"/>
        </w:rPr>
      </w:r>
      <w:bookmarkStart w:name="_@_D8BAF4818C996F4DBA8AFF2D2363BCC6Z" w:id="1"/>
      <w:r>
        <w:rPr>
          <w:sz w:val="20"/>
          <w:szCs w:val="20"/>
        </w:rPr>
        <w:fldChar w:fldCharType="separate"/>
      </w:r>
      <w:bookmarkEnd w:id="1"/>
      <w:r w:rsidRPr="00282D90">
        <w:rPr>
          <w:rStyle w:val="Mention"/>
          <w:noProof/>
          <w:sz w:val="20"/>
          <w:szCs w:val="20"/>
        </w:rPr>
        <w:t>@Sandra Wesselink</w:t>
      </w:r>
      <w:r>
        <w:rPr>
          <w:sz w:val="20"/>
          <w:szCs w:val="20"/>
        </w:rPr>
        <w:fldChar w:fldCharType="end"/>
      </w:r>
      <w:r>
        <w:rPr>
          <w:sz w:val="20"/>
          <w:szCs w:val="20"/>
        </w:rPr>
        <w:t xml:space="preserve"> - did you complete the training in employment Hero? and Attended the VCOSS face to face training int the all staff back in Feb?</w:t>
      </w:r>
    </w:p>
  </w:comment>
  <w:comment xmlns:w="http://schemas.openxmlformats.org/wordprocessingml/2006/main" w:initials="SW" w:author="Sandra Wesselink" w:date="2025-08-14T08:46:48" w:id="950667511">
    <w:p xmlns:w14="http://schemas.microsoft.com/office/word/2010/wordml" xmlns:w="http://schemas.openxmlformats.org/wordprocessingml/2006/main" w:rsidR="2CE3C236" w:rsidRDefault="57AB31A7" w14:paraId="00478158" w14:textId="117C30D5">
      <w:pPr>
        <w:pStyle w:val="CommentText"/>
      </w:pPr>
      <w:r>
        <w:rPr>
          <w:rStyle w:val="CommentReference"/>
        </w:rPr>
        <w:annotationRef/>
      </w:r>
      <w:r w:rsidRPr="4E4F0FBB" w:rsidR="605A77CB">
        <w:t>Yes, thank you for the reminder to add</w:t>
      </w:r>
    </w:p>
  </w:comment>
</w:comments>
</file>

<file path=word/commentsExtended.xml><?xml version="1.0" encoding="utf-8"?>
<w15:commentsEx xmlns:mc="http://schemas.openxmlformats.org/markup-compatibility/2006" xmlns:w15="http://schemas.microsoft.com/office/word/2012/wordml" mc:Ignorable="w15">
  <w15:commentEx w15:done="0" w15:paraId="290F127F"/>
  <w15:commentEx w15:done="0" w15:paraId="00478158" w15:paraIdParent="290F127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C2D9BCE" w16cex:dateUtc="2025-08-13T06:50:00Z"/>
  <w16cex:commentExtensible w16cex:durableId="135E1F9B" w16cex:dateUtc="2025-08-13T22:46:48.462Z"/>
</w16cex:commentsExtensible>
</file>

<file path=word/commentsIds.xml><?xml version="1.0" encoding="utf-8"?>
<w16cid:commentsIds xmlns:mc="http://schemas.openxmlformats.org/markup-compatibility/2006" xmlns:w16cid="http://schemas.microsoft.com/office/word/2016/wordml/cid" mc:Ignorable="w16cid">
  <w16cid:commentId w16cid:paraId="290F127F" w16cid:durableId="5C2D9BCE"/>
  <w16cid:commentId w16cid:paraId="00478158" w16cid:durableId="135E1F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22A"/>
    <w:multiLevelType w:val="hybridMultilevel"/>
    <w:tmpl w:val="416A0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1C6968"/>
    <w:multiLevelType w:val="hybridMultilevel"/>
    <w:tmpl w:val="05CCC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731B76"/>
    <w:multiLevelType w:val="hybridMultilevel"/>
    <w:tmpl w:val="8A509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8E1EE4"/>
    <w:multiLevelType w:val="hybridMultilevel"/>
    <w:tmpl w:val="93C68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D3641E"/>
    <w:multiLevelType w:val="hybridMultilevel"/>
    <w:tmpl w:val="28EC4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1371F1"/>
    <w:multiLevelType w:val="hybridMultilevel"/>
    <w:tmpl w:val="EA348A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7129B4"/>
    <w:multiLevelType w:val="hybridMultilevel"/>
    <w:tmpl w:val="20409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0B5D18"/>
    <w:multiLevelType w:val="multilevel"/>
    <w:tmpl w:val="78DAA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B252EAA"/>
    <w:multiLevelType w:val="multilevel"/>
    <w:tmpl w:val="ED6A9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0541580"/>
    <w:multiLevelType w:val="hybridMultilevel"/>
    <w:tmpl w:val="2A427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62464F"/>
    <w:multiLevelType w:val="hybridMultilevel"/>
    <w:tmpl w:val="52EC85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12969D6"/>
    <w:multiLevelType w:val="hybridMultilevel"/>
    <w:tmpl w:val="2418F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805F1"/>
    <w:multiLevelType w:val="multilevel"/>
    <w:tmpl w:val="2FC03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C4E5FA6"/>
    <w:multiLevelType w:val="hybridMultilevel"/>
    <w:tmpl w:val="53E25D32"/>
    <w:lvl w:ilvl="0" w:tplc="0C521A56">
      <w:start w:val="1"/>
      <w:numFmt w:val="bullet"/>
      <w:pStyle w:val="SITablebullet1"/>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64CA665B"/>
    <w:multiLevelType w:val="hybridMultilevel"/>
    <w:tmpl w:val="DC58E0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696C2B8B"/>
    <w:multiLevelType w:val="multilevel"/>
    <w:tmpl w:val="823A6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A6620F1"/>
    <w:multiLevelType w:val="multilevel"/>
    <w:tmpl w:val="C5BAF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C9B43A6"/>
    <w:multiLevelType w:val="multilevel"/>
    <w:tmpl w:val="F00A4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ABA06A1"/>
    <w:multiLevelType w:val="multilevel"/>
    <w:tmpl w:val="0A2C9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26254595">
    <w:abstractNumId w:val="11"/>
  </w:num>
  <w:num w:numId="2" w16cid:durableId="2023704020">
    <w:abstractNumId w:val="6"/>
  </w:num>
  <w:num w:numId="3" w16cid:durableId="431125913">
    <w:abstractNumId w:val="9"/>
  </w:num>
  <w:num w:numId="4" w16cid:durableId="769661383">
    <w:abstractNumId w:val="4"/>
  </w:num>
  <w:num w:numId="5" w16cid:durableId="1211041622">
    <w:abstractNumId w:val="5"/>
  </w:num>
  <w:num w:numId="6" w16cid:durableId="732505566">
    <w:abstractNumId w:val="12"/>
  </w:num>
  <w:num w:numId="7" w16cid:durableId="1783376486">
    <w:abstractNumId w:val="16"/>
  </w:num>
  <w:num w:numId="8" w16cid:durableId="54623239">
    <w:abstractNumId w:val="8"/>
  </w:num>
  <w:num w:numId="9" w16cid:durableId="1095594677">
    <w:abstractNumId w:val="18"/>
  </w:num>
  <w:num w:numId="10" w16cid:durableId="1586376113">
    <w:abstractNumId w:val="15"/>
  </w:num>
  <w:num w:numId="11" w16cid:durableId="1512185801">
    <w:abstractNumId w:val="7"/>
  </w:num>
  <w:num w:numId="12" w16cid:durableId="1528564039">
    <w:abstractNumId w:val="17"/>
  </w:num>
  <w:num w:numId="13" w16cid:durableId="523521065">
    <w:abstractNumId w:val="0"/>
  </w:num>
  <w:num w:numId="14" w16cid:durableId="944532150">
    <w:abstractNumId w:val="1"/>
  </w:num>
  <w:num w:numId="15" w16cid:durableId="751700527">
    <w:abstractNumId w:val="14"/>
  </w:num>
  <w:num w:numId="16" w16cid:durableId="2108113942">
    <w:abstractNumId w:val="10"/>
  </w:num>
  <w:num w:numId="17" w16cid:durableId="2040398508">
    <w:abstractNumId w:val="13"/>
  </w:num>
  <w:num w:numId="18" w16cid:durableId="1057318598">
    <w:abstractNumId w:val="2"/>
  </w:num>
  <w:num w:numId="19" w16cid:durableId="163786968">
    <w:abstractNumId w:val="3"/>
  </w:num>
</w:numbering>
</file>

<file path=word/people.xml><?xml version="1.0" encoding="utf-8"?>
<w15:people xmlns:mc="http://schemas.openxmlformats.org/markup-compatibility/2006" xmlns:w15="http://schemas.microsoft.com/office/word/2012/wordml" mc:Ignorable="w15">
  <w15:person w15:author="Cristina Ferrari">
    <w15:presenceInfo w15:providerId="AD" w15:userId="S::cristina.ferrari@humanability.com.au::afb2a16f-a00a-4ffe-8d50-01eb8441d24d"/>
  </w15:person>
  <w15:person w15:author="Sandra Wesselink">
    <w15:presenceInfo w15:providerId="AD" w15:userId="S::sandra.wesselink@humanability.com.au::ccab2b11-6d73-454d-9cb8-5f341ac3f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A"/>
    <w:rsid w:val="0000230F"/>
    <w:rsid w:val="00004EA8"/>
    <w:rsid w:val="000133B7"/>
    <w:rsid w:val="00024AAB"/>
    <w:rsid w:val="000373CD"/>
    <w:rsid w:val="00054CB5"/>
    <w:rsid w:val="00066719"/>
    <w:rsid w:val="0006748E"/>
    <w:rsid w:val="00095745"/>
    <w:rsid w:val="000C26C9"/>
    <w:rsid w:val="000F3AB8"/>
    <w:rsid w:val="00121559"/>
    <w:rsid w:val="00125CA6"/>
    <w:rsid w:val="001520B2"/>
    <w:rsid w:val="001703DA"/>
    <w:rsid w:val="00173ADF"/>
    <w:rsid w:val="00174339"/>
    <w:rsid w:val="00181E93"/>
    <w:rsid w:val="00190018"/>
    <w:rsid w:val="001B7E26"/>
    <w:rsid w:val="001C0EB6"/>
    <w:rsid w:val="00203DB6"/>
    <w:rsid w:val="00215FB4"/>
    <w:rsid w:val="002226AE"/>
    <w:rsid w:val="002230B1"/>
    <w:rsid w:val="00265E99"/>
    <w:rsid w:val="0026C2CB"/>
    <w:rsid w:val="002732A2"/>
    <w:rsid w:val="00282D90"/>
    <w:rsid w:val="002B1A11"/>
    <w:rsid w:val="002B7017"/>
    <w:rsid w:val="002C2D7C"/>
    <w:rsid w:val="002D7A07"/>
    <w:rsid w:val="002E2DEF"/>
    <w:rsid w:val="002F1CCD"/>
    <w:rsid w:val="002F5E43"/>
    <w:rsid w:val="003136A7"/>
    <w:rsid w:val="003270FD"/>
    <w:rsid w:val="00333916"/>
    <w:rsid w:val="0033421F"/>
    <w:rsid w:val="003578BC"/>
    <w:rsid w:val="00360538"/>
    <w:rsid w:val="00362208"/>
    <w:rsid w:val="00372D06"/>
    <w:rsid w:val="00383C84"/>
    <w:rsid w:val="003A1C3E"/>
    <w:rsid w:val="003A3156"/>
    <w:rsid w:val="003B3192"/>
    <w:rsid w:val="003C3038"/>
    <w:rsid w:val="003D0C11"/>
    <w:rsid w:val="003D3CAD"/>
    <w:rsid w:val="003F0A95"/>
    <w:rsid w:val="003F2CA9"/>
    <w:rsid w:val="003F2E85"/>
    <w:rsid w:val="00413700"/>
    <w:rsid w:val="0041649C"/>
    <w:rsid w:val="0041687D"/>
    <w:rsid w:val="004203A0"/>
    <w:rsid w:val="0042080B"/>
    <w:rsid w:val="004317E8"/>
    <w:rsid w:val="00433FD1"/>
    <w:rsid w:val="0043580C"/>
    <w:rsid w:val="004A57B6"/>
    <w:rsid w:val="004A5C31"/>
    <w:rsid w:val="004B5F26"/>
    <w:rsid w:val="004D0F7D"/>
    <w:rsid w:val="004D2BCA"/>
    <w:rsid w:val="004E2968"/>
    <w:rsid w:val="004F3124"/>
    <w:rsid w:val="004F7C24"/>
    <w:rsid w:val="004F7D40"/>
    <w:rsid w:val="00516988"/>
    <w:rsid w:val="00527F4B"/>
    <w:rsid w:val="0055754E"/>
    <w:rsid w:val="005738DB"/>
    <w:rsid w:val="00580A56"/>
    <w:rsid w:val="005A1A54"/>
    <w:rsid w:val="005B48A6"/>
    <w:rsid w:val="005D39FC"/>
    <w:rsid w:val="005E780D"/>
    <w:rsid w:val="005F1BFB"/>
    <w:rsid w:val="00606FD9"/>
    <w:rsid w:val="0063347C"/>
    <w:rsid w:val="006335BF"/>
    <w:rsid w:val="006361E3"/>
    <w:rsid w:val="00653412"/>
    <w:rsid w:val="006903A9"/>
    <w:rsid w:val="00690609"/>
    <w:rsid w:val="0069581C"/>
    <w:rsid w:val="006B07FC"/>
    <w:rsid w:val="006C7B4C"/>
    <w:rsid w:val="006D0BBA"/>
    <w:rsid w:val="006D483C"/>
    <w:rsid w:val="006D488A"/>
    <w:rsid w:val="006F04D2"/>
    <w:rsid w:val="006F787B"/>
    <w:rsid w:val="00701A7C"/>
    <w:rsid w:val="0074210B"/>
    <w:rsid w:val="00750FFC"/>
    <w:rsid w:val="00757CA5"/>
    <w:rsid w:val="007629EF"/>
    <w:rsid w:val="00766324"/>
    <w:rsid w:val="00771061"/>
    <w:rsid w:val="0077353B"/>
    <w:rsid w:val="00775FAC"/>
    <w:rsid w:val="00786FEF"/>
    <w:rsid w:val="007920F7"/>
    <w:rsid w:val="007924FA"/>
    <w:rsid w:val="007A40CD"/>
    <w:rsid w:val="007C750F"/>
    <w:rsid w:val="007D6857"/>
    <w:rsid w:val="007D6D65"/>
    <w:rsid w:val="00811896"/>
    <w:rsid w:val="008166CF"/>
    <w:rsid w:val="00831ED4"/>
    <w:rsid w:val="008342EE"/>
    <w:rsid w:val="00841E02"/>
    <w:rsid w:val="008476B7"/>
    <w:rsid w:val="0085120C"/>
    <w:rsid w:val="008551C5"/>
    <w:rsid w:val="008726DD"/>
    <w:rsid w:val="008856C2"/>
    <w:rsid w:val="008908A4"/>
    <w:rsid w:val="00896B11"/>
    <w:rsid w:val="008D4D4A"/>
    <w:rsid w:val="008F184A"/>
    <w:rsid w:val="00906E1A"/>
    <w:rsid w:val="00912BEA"/>
    <w:rsid w:val="00912D49"/>
    <w:rsid w:val="00944690"/>
    <w:rsid w:val="00951207"/>
    <w:rsid w:val="0096347B"/>
    <w:rsid w:val="00994D51"/>
    <w:rsid w:val="009B037D"/>
    <w:rsid w:val="009B6091"/>
    <w:rsid w:val="009C33F1"/>
    <w:rsid w:val="009C67A2"/>
    <w:rsid w:val="009D6F4F"/>
    <w:rsid w:val="009E0DB3"/>
    <w:rsid w:val="00A217FD"/>
    <w:rsid w:val="00A5005A"/>
    <w:rsid w:val="00A52473"/>
    <w:rsid w:val="00A70498"/>
    <w:rsid w:val="00AA1F3D"/>
    <w:rsid w:val="00AA6077"/>
    <w:rsid w:val="00AB2663"/>
    <w:rsid w:val="00AB67F4"/>
    <w:rsid w:val="00AB7FED"/>
    <w:rsid w:val="00AC64AF"/>
    <w:rsid w:val="00AD5B33"/>
    <w:rsid w:val="00AD6CFD"/>
    <w:rsid w:val="00AE3046"/>
    <w:rsid w:val="00AE728A"/>
    <w:rsid w:val="00B15A7A"/>
    <w:rsid w:val="00B17037"/>
    <w:rsid w:val="00B40275"/>
    <w:rsid w:val="00B419CD"/>
    <w:rsid w:val="00B50114"/>
    <w:rsid w:val="00B52CEF"/>
    <w:rsid w:val="00B550D9"/>
    <w:rsid w:val="00B558D4"/>
    <w:rsid w:val="00B57BFF"/>
    <w:rsid w:val="00B62980"/>
    <w:rsid w:val="00B80C94"/>
    <w:rsid w:val="00B83199"/>
    <w:rsid w:val="00B87FEF"/>
    <w:rsid w:val="00BC472B"/>
    <w:rsid w:val="00BE2394"/>
    <w:rsid w:val="00BE2805"/>
    <w:rsid w:val="00BE6CE7"/>
    <w:rsid w:val="00C00A05"/>
    <w:rsid w:val="00C11B72"/>
    <w:rsid w:val="00C24AB9"/>
    <w:rsid w:val="00C8161E"/>
    <w:rsid w:val="00C8611B"/>
    <w:rsid w:val="00CA27E3"/>
    <w:rsid w:val="00CB5B2C"/>
    <w:rsid w:val="00CC0A7A"/>
    <w:rsid w:val="00CD0CD0"/>
    <w:rsid w:val="00CE0760"/>
    <w:rsid w:val="00CE4788"/>
    <w:rsid w:val="00CE6C24"/>
    <w:rsid w:val="00CF5D7B"/>
    <w:rsid w:val="00D17D08"/>
    <w:rsid w:val="00D358FA"/>
    <w:rsid w:val="00D35B08"/>
    <w:rsid w:val="00D63988"/>
    <w:rsid w:val="00D73DA6"/>
    <w:rsid w:val="00D76B2A"/>
    <w:rsid w:val="00D825F0"/>
    <w:rsid w:val="00D82FD0"/>
    <w:rsid w:val="00DC5CD7"/>
    <w:rsid w:val="00DD228D"/>
    <w:rsid w:val="00DD72E7"/>
    <w:rsid w:val="00E21F5D"/>
    <w:rsid w:val="00E267C4"/>
    <w:rsid w:val="00E55C20"/>
    <w:rsid w:val="00E577D2"/>
    <w:rsid w:val="00E73576"/>
    <w:rsid w:val="00EA43DC"/>
    <w:rsid w:val="00EB034C"/>
    <w:rsid w:val="00EB1821"/>
    <w:rsid w:val="00EC0866"/>
    <w:rsid w:val="00EC2973"/>
    <w:rsid w:val="00EF0D54"/>
    <w:rsid w:val="00EF21D6"/>
    <w:rsid w:val="00EF37B9"/>
    <w:rsid w:val="00EF4A6B"/>
    <w:rsid w:val="00F0748F"/>
    <w:rsid w:val="00F231B2"/>
    <w:rsid w:val="00F23927"/>
    <w:rsid w:val="00F87FE1"/>
    <w:rsid w:val="00FA3E98"/>
    <w:rsid w:val="00FA774F"/>
    <w:rsid w:val="00FB1097"/>
    <w:rsid w:val="00FE292D"/>
    <w:rsid w:val="00FF1CB0"/>
    <w:rsid w:val="02267A8B"/>
    <w:rsid w:val="041E0C1C"/>
    <w:rsid w:val="04B62366"/>
    <w:rsid w:val="072B218C"/>
    <w:rsid w:val="07A57A0B"/>
    <w:rsid w:val="0939D4CB"/>
    <w:rsid w:val="097D2AC2"/>
    <w:rsid w:val="0AF729B2"/>
    <w:rsid w:val="0C4B5F0A"/>
    <w:rsid w:val="0CB3E1FD"/>
    <w:rsid w:val="0D32F656"/>
    <w:rsid w:val="0E938972"/>
    <w:rsid w:val="0EF45149"/>
    <w:rsid w:val="10107479"/>
    <w:rsid w:val="10D71280"/>
    <w:rsid w:val="1116FDE1"/>
    <w:rsid w:val="11309C9D"/>
    <w:rsid w:val="11C31E17"/>
    <w:rsid w:val="11CD0811"/>
    <w:rsid w:val="12FF7E79"/>
    <w:rsid w:val="1366B357"/>
    <w:rsid w:val="13BA0C8C"/>
    <w:rsid w:val="148BC5FA"/>
    <w:rsid w:val="14EE6FFD"/>
    <w:rsid w:val="15AE467D"/>
    <w:rsid w:val="161A8C5E"/>
    <w:rsid w:val="171DB8E8"/>
    <w:rsid w:val="18C54C0E"/>
    <w:rsid w:val="19DF7FC8"/>
    <w:rsid w:val="1BD08AC8"/>
    <w:rsid w:val="1C0542BD"/>
    <w:rsid w:val="1CFA320F"/>
    <w:rsid w:val="1DFF9934"/>
    <w:rsid w:val="1EFB366D"/>
    <w:rsid w:val="21015050"/>
    <w:rsid w:val="21201368"/>
    <w:rsid w:val="23830FA4"/>
    <w:rsid w:val="23D9FEB3"/>
    <w:rsid w:val="24F9B10F"/>
    <w:rsid w:val="250734AD"/>
    <w:rsid w:val="263103BD"/>
    <w:rsid w:val="268A4C97"/>
    <w:rsid w:val="2B357B80"/>
    <w:rsid w:val="2B38ED9D"/>
    <w:rsid w:val="2B77C20A"/>
    <w:rsid w:val="2C4B6C16"/>
    <w:rsid w:val="2D5DA59B"/>
    <w:rsid w:val="2DB54DCD"/>
    <w:rsid w:val="2F2C549B"/>
    <w:rsid w:val="2F7B5401"/>
    <w:rsid w:val="30C18573"/>
    <w:rsid w:val="30E96F6F"/>
    <w:rsid w:val="319C37D0"/>
    <w:rsid w:val="35278FF5"/>
    <w:rsid w:val="355F3D09"/>
    <w:rsid w:val="359ABB40"/>
    <w:rsid w:val="37C10363"/>
    <w:rsid w:val="37DA33E0"/>
    <w:rsid w:val="3830A318"/>
    <w:rsid w:val="384C19C7"/>
    <w:rsid w:val="38AFC73F"/>
    <w:rsid w:val="391F6879"/>
    <w:rsid w:val="393F53DD"/>
    <w:rsid w:val="396882A7"/>
    <w:rsid w:val="3A602472"/>
    <w:rsid w:val="3B12C63E"/>
    <w:rsid w:val="3DE61BB5"/>
    <w:rsid w:val="3E3FA59B"/>
    <w:rsid w:val="42EB4332"/>
    <w:rsid w:val="44F01EA7"/>
    <w:rsid w:val="45A34D6C"/>
    <w:rsid w:val="46E86AD0"/>
    <w:rsid w:val="4847F62E"/>
    <w:rsid w:val="487D96FF"/>
    <w:rsid w:val="49918D55"/>
    <w:rsid w:val="4B6C4E0B"/>
    <w:rsid w:val="4D0B23A2"/>
    <w:rsid w:val="4EB62B01"/>
    <w:rsid w:val="4F22B378"/>
    <w:rsid w:val="4FF4576D"/>
    <w:rsid w:val="509D637D"/>
    <w:rsid w:val="50AC955A"/>
    <w:rsid w:val="50E75190"/>
    <w:rsid w:val="51D7FC2A"/>
    <w:rsid w:val="521CED0F"/>
    <w:rsid w:val="52E37398"/>
    <w:rsid w:val="53504A99"/>
    <w:rsid w:val="54625E77"/>
    <w:rsid w:val="56B98F0E"/>
    <w:rsid w:val="56D7426B"/>
    <w:rsid w:val="573129B5"/>
    <w:rsid w:val="57E5FEA7"/>
    <w:rsid w:val="5A1724E7"/>
    <w:rsid w:val="5E091D81"/>
    <w:rsid w:val="5EA01486"/>
    <w:rsid w:val="5EDDAD91"/>
    <w:rsid w:val="5F86A86F"/>
    <w:rsid w:val="5F887D39"/>
    <w:rsid w:val="5FB6C7EE"/>
    <w:rsid w:val="6005DBFA"/>
    <w:rsid w:val="60163F58"/>
    <w:rsid w:val="60873A02"/>
    <w:rsid w:val="60B01E7A"/>
    <w:rsid w:val="623FE0AB"/>
    <w:rsid w:val="62D0DB07"/>
    <w:rsid w:val="62E2980D"/>
    <w:rsid w:val="653A8ED8"/>
    <w:rsid w:val="65C706B0"/>
    <w:rsid w:val="65FF5002"/>
    <w:rsid w:val="6700F775"/>
    <w:rsid w:val="677A5405"/>
    <w:rsid w:val="677CB4D8"/>
    <w:rsid w:val="68B54BDC"/>
    <w:rsid w:val="6CC22AC5"/>
    <w:rsid w:val="6D69DDC5"/>
    <w:rsid w:val="6F6B81FF"/>
    <w:rsid w:val="70555E13"/>
    <w:rsid w:val="70ADE6E1"/>
    <w:rsid w:val="72F29ACD"/>
    <w:rsid w:val="73730362"/>
    <w:rsid w:val="73F1D119"/>
    <w:rsid w:val="761F13B1"/>
    <w:rsid w:val="77324885"/>
    <w:rsid w:val="786800DA"/>
    <w:rsid w:val="791B66A6"/>
    <w:rsid w:val="7A1FEA91"/>
    <w:rsid w:val="7A6407E9"/>
    <w:rsid w:val="7AA6C676"/>
    <w:rsid w:val="7BEAB00C"/>
    <w:rsid w:val="7C519510"/>
    <w:rsid w:val="7CD8A192"/>
    <w:rsid w:val="7D87FCCC"/>
    <w:rsid w:val="7DE491AB"/>
    <w:rsid w:val="7E3AC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53A5"/>
  <w15:chartTrackingRefBased/>
  <w15:docId w15:val="{C27AC01C-12AE-5545-BD43-ECA237B9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D0B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0B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B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0B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6D0B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D0B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D0B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D0B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D0B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D0B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D0B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D0BBA"/>
    <w:rPr>
      <w:rFonts w:eastAsiaTheme="majorEastAsia" w:cstheme="majorBidi"/>
      <w:color w:val="272727" w:themeColor="text1" w:themeTint="D8"/>
    </w:rPr>
  </w:style>
  <w:style w:type="paragraph" w:styleId="Title">
    <w:name w:val="Title"/>
    <w:basedOn w:val="Normal"/>
    <w:next w:val="Normal"/>
    <w:link w:val="TitleChar"/>
    <w:uiPriority w:val="10"/>
    <w:qFormat/>
    <w:rsid w:val="006D0BB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0B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D0BB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D0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BBA"/>
    <w:pPr>
      <w:spacing w:before="160"/>
      <w:jc w:val="center"/>
    </w:pPr>
    <w:rPr>
      <w:i/>
      <w:iCs/>
      <w:color w:val="404040" w:themeColor="text1" w:themeTint="BF"/>
    </w:rPr>
  </w:style>
  <w:style w:type="character" w:styleId="QuoteChar" w:customStyle="1">
    <w:name w:val="Quote Char"/>
    <w:basedOn w:val="DefaultParagraphFont"/>
    <w:link w:val="Quote"/>
    <w:uiPriority w:val="29"/>
    <w:rsid w:val="006D0BBA"/>
    <w:rPr>
      <w:i/>
      <w:iCs/>
      <w:color w:val="404040" w:themeColor="text1" w:themeTint="BF"/>
    </w:rPr>
  </w:style>
  <w:style w:type="paragraph" w:styleId="ListParagraph">
    <w:name w:val="List Paragraph"/>
    <w:basedOn w:val="Normal"/>
    <w:uiPriority w:val="34"/>
    <w:qFormat/>
    <w:rsid w:val="006D0BBA"/>
    <w:pPr>
      <w:ind w:left="720"/>
      <w:contextualSpacing/>
    </w:pPr>
  </w:style>
  <w:style w:type="character" w:styleId="IntenseEmphasis">
    <w:name w:val="Intense Emphasis"/>
    <w:basedOn w:val="DefaultParagraphFont"/>
    <w:uiPriority w:val="21"/>
    <w:qFormat/>
    <w:rsid w:val="006D0BBA"/>
    <w:rPr>
      <w:i/>
      <w:iCs/>
      <w:color w:val="0F4761" w:themeColor="accent1" w:themeShade="BF"/>
    </w:rPr>
  </w:style>
  <w:style w:type="paragraph" w:styleId="IntenseQuote">
    <w:name w:val="Intense Quote"/>
    <w:basedOn w:val="Normal"/>
    <w:next w:val="Normal"/>
    <w:link w:val="IntenseQuoteChar"/>
    <w:uiPriority w:val="30"/>
    <w:qFormat/>
    <w:rsid w:val="006D0B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D0BBA"/>
    <w:rPr>
      <w:i/>
      <w:iCs/>
      <w:color w:val="0F4761" w:themeColor="accent1" w:themeShade="BF"/>
    </w:rPr>
  </w:style>
  <w:style w:type="character" w:styleId="IntenseReference">
    <w:name w:val="Intense Reference"/>
    <w:basedOn w:val="DefaultParagraphFont"/>
    <w:uiPriority w:val="32"/>
    <w:qFormat/>
    <w:rsid w:val="006D0BBA"/>
    <w:rPr>
      <w:b/>
      <w:bCs/>
      <w:smallCaps/>
      <w:color w:val="0F4761" w:themeColor="accent1" w:themeShade="BF"/>
      <w:spacing w:val="5"/>
    </w:rPr>
  </w:style>
  <w:style w:type="table" w:styleId="TableGrid">
    <w:name w:val="Table Grid"/>
    <w:basedOn w:val="TableNormal"/>
    <w:uiPriority w:val="39"/>
    <w:rsid w:val="005738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66719"/>
    <w:rPr>
      <w:color w:val="467886" w:themeColor="hyperlink"/>
      <w:u w:val="single"/>
    </w:rPr>
  </w:style>
  <w:style w:type="character" w:styleId="UnresolvedMention">
    <w:name w:val="Unresolved Mention"/>
    <w:basedOn w:val="DefaultParagraphFont"/>
    <w:uiPriority w:val="99"/>
    <w:semiHidden/>
    <w:unhideWhenUsed/>
    <w:rsid w:val="00066719"/>
    <w:rPr>
      <w:color w:val="605E5C"/>
      <w:shd w:val="clear" w:color="auto" w:fill="E1DFDD"/>
    </w:rPr>
  </w:style>
  <w:style w:type="character" w:styleId="FollowedHyperlink">
    <w:name w:val="FollowedHyperlink"/>
    <w:basedOn w:val="DefaultParagraphFont"/>
    <w:uiPriority w:val="99"/>
    <w:semiHidden/>
    <w:unhideWhenUsed/>
    <w:rsid w:val="006335BF"/>
    <w:rPr>
      <w:color w:val="96607D" w:themeColor="followedHyperlink"/>
      <w:u w:val="single"/>
    </w:rPr>
  </w:style>
  <w:style w:type="paragraph" w:styleId="NormalWeb">
    <w:name w:val="Normal (Web)"/>
    <w:basedOn w:val="Normal"/>
    <w:uiPriority w:val="99"/>
    <w:semiHidden/>
    <w:unhideWhenUsed/>
    <w:rsid w:val="006335BF"/>
    <w:rPr>
      <w:rFonts w:ascii="Times New Roman" w:hAnsi="Times New Roman" w:cs="Times New Roman"/>
    </w:rPr>
  </w:style>
  <w:style w:type="paragraph" w:styleId="SITableBody" w:customStyle="1">
    <w:name w:val="SI Table Body"/>
    <w:basedOn w:val="Normal"/>
    <w:qFormat/>
    <w:rsid w:val="00750FFC"/>
    <w:pPr>
      <w:spacing w:before="200" w:after="240" w:line="240" w:lineRule="auto"/>
      <w:ind w:left="57"/>
    </w:pPr>
    <w:rPr>
      <w:rFonts w:ascii="Avenir Book" w:hAnsi="Avenir Book"/>
      <w:color w:val="1E3531"/>
      <w:kern w:val="0"/>
      <w:sz w:val="21"/>
      <w:szCs w:val="21"/>
      <w14:ligatures w14:val="none"/>
    </w:rPr>
  </w:style>
  <w:style w:type="paragraph" w:styleId="SITablebullet1" w:customStyle="1">
    <w:name w:val="SI_Table_bullet1"/>
    <w:basedOn w:val="Normal"/>
    <w:autoRedefine/>
    <w:rsid w:val="00EC2973"/>
    <w:pPr>
      <w:numPr>
        <w:numId w:val="17"/>
      </w:numPr>
      <w:spacing w:after="120" w:line="276" w:lineRule="auto"/>
    </w:pPr>
    <w:rPr>
      <w:rFonts w:ascii="Avenir Book" w:hAnsi="Avenir Book"/>
      <w:color w:val="1E3531"/>
      <w:kern w:val="0"/>
      <w:sz w:val="20"/>
      <w:szCs w:val="20"/>
      <w14:ligatures w14:val="none"/>
    </w:rPr>
  </w:style>
  <w:style w:type="paragraph" w:styleId="Revision">
    <w:name w:val="Revision"/>
    <w:hidden/>
    <w:uiPriority w:val="99"/>
    <w:semiHidden/>
    <w:rsid w:val="00AA1F3D"/>
    <w:pPr>
      <w:spacing w:after="0" w:line="240" w:lineRule="auto"/>
    </w:pPr>
  </w:style>
  <w:style w:type="character" w:styleId="CommentReference">
    <w:name w:val="annotation reference"/>
    <w:basedOn w:val="DefaultParagraphFont"/>
    <w:uiPriority w:val="99"/>
    <w:semiHidden/>
    <w:unhideWhenUsed/>
    <w:rsid w:val="003A3156"/>
    <w:rPr>
      <w:sz w:val="16"/>
      <w:szCs w:val="16"/>
    </w:rPr>
  </w:style>
  <w:style w:type="paragraph" w:styleId="CommentText">
    <w:name w:val="annotation text"/>
    <w:basedOn w:val="Normal"/>
    <w:link w:val="CommentTextChar"/>
    <w:uiPriority w:val="99"/>
    <w:semiHidden/>
    <w:unhideWhenUsed/>
    <w:rsid w:val="003A3156"/>
    <w:pPr>
      <w:spacing w:line="240" w:lineRule="auto"/>
    </w:pPr>
    <w:rPr>
      <w:sz w:val="20"/>
      <w:szCs w:val="20"/>
    </w:rPr>
  </w:style>
  <w:style w:type="character" w:styleId="CommentTextChar" w:customStyle="1">
    <w:name w:val="Comment Text Char"/>
    <w:basedOn w:val="DefaultParagraphFont"/>
    <w:link w:val="CommentText"/>
    <w:uiPriority w:val="99"/>
    <w:semiHidden/>
    <w:rsid w:val="003A3156"/>
    <w:rPr>
      <w:sz w:val="20"/>
      <w:szCs w:val="20"/>
    </w:rPr>
  </w:style>
  <w:style w:type="paragraph" w:styleId="CommentSubject">
    <w:name w:val="annotation subject"/>
    <w:basedOn w:val="CommentText"/>
    <w:next w:val="CommentText"/>
    <w:link w:val="CommentSubjectChar"/>
    <w:uiPriority w:val="99"/>
    <w:semiHidden/>
    <w:unhideWhenUsed/>
    <w:rsid w:val="003A3156"/>
    <w:rPr>
      <w:b/>
      <w:bCs/>
    </w:rPr>
  </w:style>
  <w:style w:type="character" w:styleId="CommentSubjectChar" w:customStyle="1">
    <w:name w:val="Comment Subject Char"/>
    <w:basedOn w:val="CommentTextChar"/>
    <w:link w:val="CommentSubject"/>
    <w:uiPriority w:val="99"/>
    <w:semiHidden/>
    <w:rsid w:val="003A3156"/>
    <w:rPr>
      <w:b/>
      <w:bCs/>
      <w:sz w:val="20"/>
      <w:szCs w:val="20"/>
    </w:rPr>
  </w:style>
  <w:style w:type="character" w:styleId="Mention">
    <w:name w:val="Mention"/>
    <w:basedOn w:val="DefaultParagraphFont"/>
    <w:uiPriority w:val="99"/>
    <w:unhideWhenUsed/>
    <w:rsid w:val="00282D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9982">
      <w:bodyDiv w:val="1"/>
      <w:marLeft w:val="0"/>
      <w:marRight w:val="0"/>
      <w:marTop w:val="0"/>
      <w:marBottom w:val="0"/>
      <w:divBdr>
        <w:top w:val="none" w:sz="0" w:space="0" w:color="auto"/>
        <w:left w:val="none" w:sz="0" w:space="0" w:color="auto"/>
        <w:bottom w:val="none" w:sz="0" w:space="0" w:color="auto"/>
        <w:right w:val="none" w:sz="0" w:space="0" w:color="auto"/>
      </w:divBdr>
    </w:div>
    <w:div w:id="241381414">
      <w:bodyDiv w:val="1"/>
      <w:marLeft w:val="0"/>
      <w:marRight w:val="0"/>
      <w:marTop w:val="0"/>
      <w:marBottom w:val="0"/>
      <w:divBdr>
        <w:top w:val="none" w:sz="0" w:space="0" w:color="auto"/>
        <w:left w:val="none" w:sz="0" w:space="0" w:color="auto"/>
        <w:bottom w:val="none" w:sz="0" w:space="0" w:color="auto"/>
        <w:right w:val="none" w:sz="0" w:space="0" w:color="auto"/>
      </w:divBdr>
    </w:div>
    <w:div w:id="423764777">
      <w:bodyDiv w:val="1"/>
      <w:marLeft w:val="0"/>
      <w:marRight w:val="0"/>
      <w:marTop w:val="0"/>
      <w:marBottom w:val="0"/>
      <w:divBdr>
        <w:top w:val="none" w:sz="0" w:space="0" w:color="auto"/>
        <w:left w:val="none" w:sz="0" w:space="0" w:color="auto"/>
        <w:bottom w:val="none" w:sz="0" w:space="0" w:color="auto"/>
        <w:right w:val="none" w:sz="0" w:space="0" w:color="auto"/>
      </w:divBdr>
    </w:div>
    <w:div w:id="521818781">
      <w:bodyDiv w:val="1"/>
      <w:marLeft w:val="0"/>
      <w:marRight w:val="0"/>
      <w:marTop w:val="0"/>
      <w:marBottom w:val="0"/>
      <w:divBdr>
        <w:top w:val="none" w:sz="0" w:space="0" w:color="auto"/>
        <w:left w:val="none" w:sz="0" w:space="0" w:color="auto"/>
        <w:bottom w:val="none" w:sz="0" w:space="0" w:color="auto"/>
        <w:right w:val="none" w:sz="0" w:space="0" w:color="auto"/>
      </w:divBdr>
    </w:div>
    <w:div w:id="531383392">
      <w:bodyDiv w:val="1"/>
      <w:marLeft w:val="0"/>
      <w:marRight w:val="0"/>
      <w:marTop w:val="0"/>
      <w:marBottom w:val="0"/>
      <w:divBdr>
        <w:top w:val="none" w:sz="0" w:space="0" w:color="auto"/>
        <w:left w:val="none" w:sz="0" w:space="0" w:color="auto"/>
        <w:bottom w:val="none" w:sz="0" w:space="0" w:color="auto"/>
        <w:right w:val="none" w:sz="0" w:space="0" w:color="auto"/>
      </w:divBdr>
    </w:div>
    <w:div w:id="563376644">
      <w:bodyDiv w:val="1"/>
      <w:marLeft w:val="0"/>
      <w:marRight w:val="0"/>
      <w:marTop w:val="0"/>
      <w:marBottom w:val="0"/>
      <w:divBdr>
        <w:top w:val="none" w:sz="0" w:space="0" w:color="auto"/>
        <w:left w:val="none" w:sz="0" w:space="0" w:color="auto"/>
        <w:bottom w:val="none" w:sz="0" w:space="0" w:color="auto"/>
        <w:right w:val="none" w:sz="0" w:space="0" w:color="auto"/>
      </w:divBdr>
    </w:div>
    <w:div w:id="1153331607">
      <w:bodyDiv w:val="1"/>
      <w:marLeft w:val="0"/>
      <w:marRight w:val="0"/>
      <w:marTop w:val="0"/>
      <w:marBottom w:val="0"/>
      <w:divBdr>
        <w:top w:val="none" w:sz="0" w:space="0" w:color="auto"/>
        <w:left w:val="none" w:sz="0" w:space="0" w:color="auto"/>
        <w:bottom w:val="none" w:sz="0" w:space="0" w:color="auto"/>
        <w:right w:val="none" w:sz="0" w:space="0" w:color="auto"/>
      </w:divBdr>
    </w:div>
    <w:div w:id="1215773092">
      <w:bodyDiv w:val="1"/>
      <w:marLeft w:val="0"/>
      <w:marRight w:val="0"/>
      <w:marTop w:val="0"/>
      <w:marBottom w:val="0"/>
      <w:divBdr>
        <w:top w:val="none" w:sz="0" w:space="0" w:color="auto"/>
        <w:left w:val="none" w:sz="0" w:space="0" w:color="auto"/>
        <w:bottom w:val="none" w:sz="0" w:space="0" w:color="auto"/>
        <w:right w:val="none" w:sz="0" w:space="0" w:color="auto"/>
      </w:divBdr>
    </w:div>
    <w:div w:id="1287345215">
      <w:bodyDiv w:val="1"/>
      <w:marLeft w:val="0"/>
      <w:marRight w:val="0"/>
      <w:marTop w:val="0"/>
      <w:marBottom w:val="0"/>
      <w:divBdr>
        <w:top w:val="none" w:sz="0" w:space="0" w:color="auto"/>
        <w:left w:val="none" w:sz="0" w:space="0" w:color="auto"/>
        <w:bottom w:val="none" w:sz="0" w:space="0" w:color="auto"/>
        <w:right w:val="none" w:sz="0" w:space="0" w:color="auto"/>
      </w:divBdr>
    </w:div>
    <w:div w:id="1327594261">
      <w:bodyDiv w:val="1"/>
      <w:marLeft w:val="0"/>
      <w:marRight w:val="0"/>
      <w:marTop w:val="0"/>
      <w:marBottom w:val="0"/>
      <w:divBdr>
        <w:top w:val="none" w:sz="0" w:space="0" w:color="auto"/>
        <w:left w:val="none" w:sz="0" w:space="0" w:color="auto"/>
        <w:bottom w:val="none" w:sz="0" w:space="0" w:color="auto"/>
        <w:right w:val="none" w:sz="0" w:space="0" w:color="auto"/>
      </w:divBdr>
    </w:div>
    <w:div w:id="1612778439">
      <w:bodyDiv w:val="1"/>
      <w:marLeft w:val="0"/>
      <w:marRight w:val="0"/>
      <w:marTop w:val="0"/>
      <w:marBottom w:val="0"/>
      <w:divBdr>
        <w:top w:val="none" w:sz="0" w:space="0" w:color="auto"/>
        <w:left w:val="none" w:sz="0" w:space="0" w:color="auto"/>
        <w:bottom w:val="none" w:sz="0" w:space="0" w:color="auto"/>
        <w:right w:val="none" w:sz="0" w:space="0" w:color="auto"/>
      </w:divBdr>
    </w:div>
    <w:div w:id="1767726495">
      <w:bodyDiv w:val="1"/>
      <w:marLeft w:val="0"/>
      <w:marRight w:val="0"/>
      <w:marTop w:val="0"/>
      <w:marBottom w:val="0"/>
      <w:divBdr>
        <w:top w:val="none" w:sz="0" w:space="0" w:color="auto"/>
        <w:left w:val="none" w:sz="0" w:space="0" w:color="auto"/>
        <w:bottom w:val="none" w:sz="0" w:space="0" w:color="auto"/>
        <w:right w:val="none" w:sz="0" w:space="0" w:color="auto"/>
      </w:divBdr>
    </w:div>
    <w:div w:id="18767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a38959c1-e265-4301-875f-517ef1f8aa10">Ready for submission</Status>
    <Postconsultationdetailedchanges xmlns="a38959c1-e265-4301-875f-517ef1f8aa10" xsi:nil="true"/>
    <Pre_x002d_draftdetailedchanges xmlns="a38959c1-e265-4301-875f-517ef1f8aa10" xsi:nil="true"/>
    <Changetype xmlns="a38959c1-e265-4301-875f-517ef1f8aa10" xsi:nil="true"/>
    <AfterQAdetailedchanges xmlns="a38959c1-e265-4301-875f-517ef1f8aa10" xsi:nil="true"/>
    <PostSORdetailedchanges xmlns="a38959c1-e265-4301-875f-517ef1f8aa10" xsi:nil="true"/>
    <Newunitcode xmlns="a38959c1-e265-4301-875f-517ef1f8aa10">Not yet assigned</Newunitcode>
    <AfterABsubmissiondetailedchanges xmlns="a38959c1-e265-4301-875f-517ef1f8aa10" xsi:nil="true"/>
    <ExportedtootherQualifications_x002f_TPs xmlns="a38959c1-e265-4301-875f-517ef1f8aa10">false</ExportedtootherQualifications_x002f_TPs>
    <Componenttype xmlns="a38959c1-e265-4301-875f-517ef1f8aa10">AB Submission</Componenttype>
    <CurrentCode xmlns="a38959c1-e265-4301-875f-517ef1f8aa10" xsi:nil="tru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
        <AccountId xsi:nil="true"/>
        <AccountType/>
      </UserInfo>
    </Technicalwriter>
    <Newunittitle xmlns="a38959c1-e265-4301-875f-517ef1f8aa10">Not yet assigned</Newunittitle>
    <Duedate xmlns="a38959c1-e265-4301-875f-517ef1f8aa10" xsi:nil="true"/>
    <Equivalence xmlns="a38959c1-e265-4301-875f-517ef1f8aa10" xsi:nil="true"/>
  </documentManagement>
</p:properties>
</file>

<file path=customXml/itemProps1.xml><?xml version="1.0" encoding="utf-8"?>
<ds:datastoreItem xmlns:ds="http://schemas.openxmlformats.org/officeDocument/2006/customXml" ds:itemID="{65DFE1DF-1EB9-4804-A041-E3EF917702B4}">
  <ds:schemaRefs>
    <ds:schemaRef ds:uri="http://schemas.microsoft.com/sharepoint/v3/contenttype/forms"/>
  </ds:schemaRefs>
</ds:datastoreItem>
</file>

<file path=customXml/itemProps2.xml><?xml version="1.0" encoding="utf-8"?>
<ds:datastoreItem xmlns:ds="http://schemas.openxmlformats.org/officeDocument/2006/customXml" ds:itemID="{C7BBAC33-979C-4D35-962D-2F698667A42D}"/>
</file>

<file path=customXml/itemProps3.xml><?xml version="1.0" encoding="utf-8"?>
<ds:datastoreItem xmlns:ds="http://schemas.openxmlformats.org/officeDocument/2006/customXml" ds:itemID="{E42B0417-001C-8B4A-AD7D-9F6F3BF0687C}">
  <ds:schemaRefs>
    <ds:schemaRef ds:uri="http://schemas.openxmlformats.org/officeDocument/2006/bibliography"/>
  </ds:schemaRefs>
</ds:datastoreItem>
</file>

<file path=customXml/itemProps4.xml><?xml version="1.0" encoding="utf-8"?>
<ds:datastoreItem xmlns:ds="http://schemas.openxmlformats.org/officeDocument/2006/customXml" ds:itemID="{8DE8CE4B-43F5-4D9E-BDB5-23EF35FCCABF}">
  <ds:schemaRefs>
    <ds:schemaRef ds:uri="http://schemas.microsoft.com/office/2006/metadata/properties"/>
    <ds:schemaRef ds:uri="http://schemas.microsoft.com/office/infopath/2007/PartnerControls"/>
    <ds:schemaRef ds:uri="a38959c1-e265-4301-875f-517ef1f8aa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Ferrari</dc:creator>
  <cp:keywords/>
  <dc:description/>
  <cp:lastModifiedBy>Sandra Wesselink</cp:lastModifiedBy>
  <cp:revision>46</cp:revision>
  <dcterms:created xsi:type="dcterms:W3CDTF">2025-01-16T03:59:00Z</dcterms:created>
  <dcterms:modified xsi:type="dcterms:W3CDTF">2025-08-13T22:47:02Z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ies>
</file>